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5871B" w14:textId="77777777" w:rsidR="00164568" w:rsidRPr="008F4DD8" w:rsidRDefault="00671888" w:rsidP="008F4DD8">
      <w:pPr>
        <w:rPr>
          <w:rFonts w:ascii="Calibri Light" w:hAnsi="Calibri Light" w:cs="Calibri Light"/>
          <w:color w:val="2E74B5" w:themeColor="accent1" w:themeShade="BF"/>
          <w:sz w:val="36"/>
          <w:szCs w:val="36"/>
        </w:rPr>
      </w:pPr>
      <w:bookmarkStart w:id="0" w:name="_GoBack"/>
      <w:bookmarkEnd w:id="0"/>
      <w:r w:rsidRPr="008F4DD8">
        <w:rPr>
          <w:rFonts w:ascii="Calibri Light" w:hAnsi="Calibri Light" w:cs="Calibri Light"/>
          <w:color w:val="2E74B5" w:themeColor="accent1" w:themeShade="BF"/>
          <w:sz w:val="36"/>
          <w:szCs w:val="36"/>
        </w:rPr>
        <w:t>IT-Sicherheitsrichtlinie der Universität Erfurt</w:t>
      </w:r>
    </w:p>
    <w:sdt>
      <w:sdtPr>
        <w:rPr>
          <w:rFonts w:asciiTheme="minorHAnsi" w:eastAsiaTheme="minorHAnsi" w:hAnsiTheme="minorHAnsi" w:cstheme="minorBidi"/>
          <w:color w:val="auto"/>
          <w:sz w:val="22"/>
          <w:szCs w:val="22"/>
          <w:lang w:eastAsia="en-US"/>
        </w:rPr>
        <w:id w:val="-2046670160"/>
        <w:docPartObj>
          <w:docPartGallery w:val="Table of Contents"/>
          <w:docPartUnique/>
        </w:docPartObj>
      </w:sdtPr>
      <w:sdtEndPr>
        <w:rPr>
          <w:b/>
          <w:bCs/>
        </w:rPr>
      </w:sdtEndPr>
      <w:sdtContent>
        <w:p w14:paraId="288DB4C0" w14:textId="2F6EA6CA" w:rsidR="008F4DD8" w:rsidRDefault="008F4DD8">
          <w:pPr>
            <w:pStyle w:val="Inhaltsverzeichnisberschrift"/>
          </w:pPr>
          <w:r>
            <w:t>Inhalt</w:t>
          </w:r>
        </w:p>
        <w:p w14:paraId="24CA69EE" w14:textId="68AEC5E4" w:rsidR="005B7A57" w:rsidRDefault="008F4DD8">
          <w:pPr>
            <w:pStyle w:val="Verzeichnis2"/>
            <w:tabs>
              <w:tab w:val="left" w:pos="660"/>
              <w:tab w:val="right" w:leader="dot" w:pos="9062"/>
            </w:tabs>
            <w:rPr>
              <w:rFonts w:eastAsiaTheme="minorEastAsia"/>
              <w:noProof/>
              <w:lang w:eastAsia="de-DE"/>
            </w:rPr>
          </w:pPr>
          <w:r>
            <w:fldChar w:fldCharType="begin"/>
          </w:r>
          <w:r>
            <w:instrText xml:space="preserve"> TOC \o "1-3" \h \z \u </w:instrText>
          </w:r>
          <w:r>
            <w:fldChar w:fldCharType="separate"/>
          </w:r>
          <w:hyperlink w:anchor="_Toc17278430" w:history="1">
            <w:r w:rsidR="005B7A57" w:rsidRPr="00054E38">
              <w:rPr>
                <w:rStyle w:val="Hyperlink"/>
                <w:noProof/>
              </w:rPr>
              <w:t>1.</w:t>
            </w:r>
            <w:r w:rsidR="005B7A57">
              <w:rPr>
                <w:rFonts w:eastAsiaTheme="minorEastAsia"/>
                <w:noProof/>
                <w:lang w:eastAsia="de-DE"/>
              </w:rPr>
              <w:tab/>
            </w:r>
            <w:r w:rsidR="005B7A57" w:rsidRPr="00054E38">
              <w:rPr>
                <w:rStyle w:val="Hyperlink"/>
                <w:noProof/>
              </w:rPr>
              <w:t>Präambel</w:t>
            </w:r>
            <w:r w:rsidR="005B7A57">
              <w:rPr>
                <w:noProof/>
                <w:webHidden/>
              </w:rPr>
              <w:tab/>
            </w:r>
            <w:r w:rsidR="005B7A57">
              <w:rPr>
                <w:noProof/>
                <w:webHidden/>
              </w:rPr>
              <w:fldChar w:fldCharType="begin"/>
            </w:r>
            <w:r w:rsidR="005B7A57">
              <w:rPr>
                <w:noProof/>
                <w:webHidden/>
              </w:rPr>
              <w:instrText xml:space="preserve"> PAGEREF _Toc17278430 \h </w:instrText>
            </w:r>
            <w:r w:rsidR="005B7A57">
              <w:rPr>
                <w:noProof/>
                <w:webHidden/>
              </w:rPr>
            </w:r>
            <w:r w:rsidR="005B7A57">
              <w:rPr>
                <w:noProof/>
                <w:webHidden/>
              </w:rPr>
              <w:fldChar w:fldCharType="separate"/>
            </w:r>
            <w:r w:rsidR="00DE5BF4">
              <w:rPr>
                <w:noProof/>
                <w:webHidden/>
              </w:rPr>
              <w:t>3</w:t>
            </w:r>
            <w:r w:rsidR="005B7A57">
              <w:rPr>
                <w:noProof/>
                <w:webHidden/>
              </w:rPr>
              <w:fldChar w:fldCharType="end"/>
            </w:r>
          </w:hyperlink>
        </w:p>
        <w:p w14:paraId="044E97B2" w14:textId="790CE979" w:rsidR="005B7A57" w:rsidRDefault="00E62C89">
          <w:pPr>
            <w:pStyle w:val="Verzeichnis2"/>
            <w:tabs>
              <w:tab w:val="left" w:pos="660"/>
              <w:tab w:val="right" w:leader="dot" w:pos="9062"/>
            </w:tabs>
            <w:rPr>
              <w:rFonts w:eastAsiaTheme="minorEastAsia"/>
              <w:noProof/>
              <w:lang w:eastAsia="de-DE"/>
            </w:rPr>
          </w:pPr>
          <w:hyperlink w:anchor="_Toc17278431" w:history="1">
            <w:r w:rsidR="005B7A57" w:rsidRPr="00054E38">
              <w:rPr>
                <w:rStyle w:val="Hyperlink"/>
                <w:noProof/>
              </w:rPr>
              <w:t>2.</w:t>
            </w:r>
            <w:r w:rsidR="005B7A57">
              <w:rPr>
                <w:rFonts w:eastAsiaTheme="minorEastAsia"/>
                <w:noProof/>
                <w:lang w:eastAsia="de-DE"/>
              </w:rPr>
              <w:tab/>
            </w:r>
            <w:r w:rsidR="005B7A57" w:rsidRPr="00054E38">
              <w:rPr>
                <w:rStyle w:val="Hyperlink"/>
                <w:noProof/>
              </w:rPr>
              <w:t>Ziele und Adressatenkreis</w:t>
            </w:r>
            <w:r w:rsidR="005B7A57">
              <w:rPr>
                <w:noProof/>
                <w:webHidden/>
              </w:rPr>
              <w:tab/>
            </w:r>
            <w:r w:rsidR="005B7A57">
              <w:rPr>
                <w:noProof/>
                <w:webHidden/>
              </w:rPr>
              <w:fldChar w:fldCharType="begin"/>
            </w:r>
            <w:r w:rsidR="005B7A57">
              <w:rPr>
                <w:noProof/>
                <w:webHidden/>
              </w:rPr>
              <w:instrText xml:space="preserve"> PAGEREF _Toc17278431 \h </w:instrText>
            </w:r>
            <w:r w:rsidR="005B7A57">
              <w:rPr>
                <w:noProof/>
                <w:webHidden/>
              </w:rPr>
            </w:r>
            <w:r w:rsidR="005B7A57">
              <w:rPr>
                <w:noProof/>
                <w:webHidden/>
              </w:rPr>
              <w:fldChar w:fldCharType="separate"/>
            </w:r>
            <w:r w:rsidR="00DE5BF4">
              <w:rPr>
                <w:noProof/>
                <w:webHidden/>
              </w:rPr>
              <w:t>3</w:t>
            </w:r>
            <w:r w:rsidR="005B7A57">
              <w:rPr>
                <w:noProof/>
                <w:webHidden/>
              </w:rPr>
              <w:fldChar w:fldCharType="end"/>
            </w:r>
          </w:hyperlink>
        </w:p>
        <w:p w14:paraId="561E3F09" w14:textId="7EE6BE04" w:rsidR="005B7A57" w:rsidRDefault="00E62C89">
          <w:pPr>
            <w:pStyle w:val="Verzeichnis2"/>
            <w:tabs>
              <w:tab w:val="left" w:pos="660"/>
              <w:tab w:val="right" w:leader="dot" w:pos="9062"/>
            </w:tabs>
            <w:rPr>
              <w:rFonts w:eastAsiaTheme="minorEastAsia"/>
              <w:noProof/>
              <w:lang w:eastAsia="de-DE"/>
            </w:rPr>
          </w:pPr>
          <w:hyperlink w:anchor="_Toc17278432" w:history="1">
            <w:r w:rsidR="005B7A57" w:rsidRPr="00054E38">
              <w:rPr>
                <w:rStyle w:val="Hyperlink"/>
                <w:noProof/>
              </w:rPr>
              <w:t>3.</w:t>
            </w:r>
            <w:r w:rsidR="005B7A57">
              <w:rPr>
                <w:rFonts w:eastAsiaTheme="minorEastAsia"/>
                <w:noProof/>
                <w:lang w:eastAsia="de-DE"/>
              </w:rPr>
              <w:tab/>
            </w:r>
            <w:r w:rsidR="005B7A57" w:rsidRPr="00054E38">
              <w:rPr>
                <w:rStyle w:val="Hyperlink"/>
                <w:noProof/>
              </w:rPr>
              <w:t>Begriffsbestimmungen und Verantwortlichkeiten</w:t>
            </w:r>
            <w:r w:rsidR="005B7A57">
              <w:rPr>
                <w:noProof/>
                <w:webHidden/>
              </w:rPr>
              <w:tab/>
            </w:r>
            <w:r w:rsidR="005B7A57">
              <w:rPr>
                <w:noProof/>
                <w:webHidden/>
              </w:rPr>
              <w:fldChar w:fldCharType="begin"/>
            </w:r>
            <w:r w:rsidR="005B7A57">
              <w:rPr>
                <w:noProof/>
                <w:webHidden/>
              </w:rPr>
              <w:instrText xml:space="preserve"> PAGEREF _Toc17278432 \h </w:instrText>
            </w:r>
            <w:r w:rsidR="005B7A57">
              <w:rPr>
                <w:noProof/>
                <w:webHidden/>
              </w:rPr>
            </w:r>
            <w:r w:rsidR="005B7A57">
              <w:rPr>
                <w:noProof/>
                <w:webHidden/>
              </w:rPr>
              <w:fldChar w:fldCharType="separate"/>
            </w:r>
            <w:r w:rsidR="00DE5BF4">
              <w:rPr>
                <w:noProof/>
                <w:webHidden/>
              </w:rPr>
              <w:t>4</w:t>
            </w:r>
            <w:r w:rsidR="005B7A57">
              <w:rPr>
                <w:noProof/>
                <w:webHidden/>
              </w:rPr>
              <w:fldChar w:fldCharType="end"/>
            </w:r>
          </w:hyperlink>
        </w:p>
        <w:p w14:paraId="61651F06" w14:textId="342F36EA" w:rsidR="005B7A57" w:rsidRDefault="00E62C89">
          <w:pPr>
            <w:pStyle w:val="Verzeichnis3"/>
            <w:tabs>
              <w:tab w:val="left" w:pos="1100"/>
              <w:tab w:val="right" w:leader="dot" w:pos="9062"/>
            </w:tabs>
            <w:rPr>
              <w:rFonts w:eastAsiaTheme="minorEastAsia"/>
              <w:noProof/>
              <w:lang w:eastAsia="de-DE"/>
            </w:rPr>
          </w:pPr>
          <w:hyperlink w:anchor="_Toc17278433" w:history="1">
            <w:r w:rsidR="005B7A57" w:rsidRPr="00054E38">
              <w:rPr>
                <w:rStyle w:val="Hyperlink"/>
                <w:noProof/>
              </w:rPr>
              <w:t>3.1</w:t>
            </w:r>
            <w:r w:rsidR="005B7A57">
              <w:rPr>
                <w:rFonts w:eastAsiaTheme="minorEastAsia"/>
                <w:noProof/>
                <w:lang w:eastAsia="de-DE"/>
              </w:rPr>
              <w:tab/>
            </w:r>
            <w:r w:rsidR="005B7A57" w:rsidRPr="00054E38">
              <w:rPr>
                <w:rStyle w:val="Hyperlink"/>
                <w:noProof/>
              </w:rPr>
              <w:t>Begriffsbestimmungen</w:t>
            </w:r>
            <w:r w:rsidR="005B7A57">
              <w:rPr>
                <w:noProof/>
                <w:webHidden/>
              </w:rPr>
              <w:tab/>
            </w:r>
            <w:r w:rsidR="005B7A57">
              <w:rPr>
                <w:noProof/>
                <w:webHidden/>
              </w:rPr>
              <w:fldChar w:fldCharType="begin"/>
            </w:r>
            <w:r w:rsidR="005B7A57">
              <w:rPr>
                <w:noProof/>
                <w:webHidden/>
              </w:rPr>
              <w:instrText xml:space="preserve"> PAGEREF _Toc17278433 \h </w:instrText>
            </w:r>
            <w:r w:rsidR="005B7A57">
              <w:rPr>
                <w:noProof/>
                <w:webHidden/>
              </w:rPr>
            </w:r>
            <w:r w:rsidR="005B7A57">
              <w:rPr>
                <w:noProof/>
                <w:webHidden/>
              </w:rPr>
              <w:fldChar w:fldCharType="separate"/>
            </w:r>
            <w:r w:rsidR="00DE5BF4">
              <w:rPr>
                <w:noProof/>
                <w:webHidden/>
              </w:rPr>
              <w:t>4</w:t>
            </w:r>
            <w:r w:rsidR="005B7A57">
              <w:rPr>
                <w:noProof/>
                <w:webHidden/>
              </w:rPr>
              <w:fldChar w:fldCharType="end"/>
            </w:r>
          </w:hyperlink>
        </w:p>
        <w:p w14:paraId="7F641273" w14:textId="371B34AD" w:rsidR="005B7A57" w:rsidRDefault="00E62C89">
          <w:pPr>
            <w:pStyle w:val="Verzeichnis3"/>
            <w:tabs>
              <w:tab w:val="left" w:pos="1100"/>
              <w:tab w:val="right" w:leader="dot" w:pos="9062"/>
            </w:tabs>
            <w:rPr>
              <w:rFonts w:eastAsiaTheme="minorEastAsia"/>
              <w:noProof/>
              <w:lang w:eastAsia="de-DE"/>
            </w:rPr>
          </w:pPr>
          <w:hyperlink w:anchor="_Toc17278434" w:history="1">
            <w:r w:rsidR="005B7A57" w:rsidRPr="00054E38">
              <w:rPr>
                <w:rStyle w:val="Hyperlink"/>
                <w:rFonts w:asciiTheme="majorHAnsi" w:eastAsiaTheme="majorEastAsia" w:hAnsiTheme="majorHAnsi" w:cstheme="majorBidi"/>
                <w:noProof/>
              </w:rPr>
              <w:t>3.2</w:t>
            </w:r>
            <w:r w:rsidR="005B7A57">
              <w:rPr>
                <w:rFonts w:eastAsiaTheme="minorEastAsia"/>
                <w:noProof/>
                <w:lang w:eastAsia="de-DE"/>
              </w:rPr>
              <w:tab/>
            </w:r>
            <w:r w:rsidR="005B7A57" w:rsidRPr="00054E38">
              <w:rPr>
                <w:rStyle w:val="Hyperlink"/>
                <w:rFonts w:asciiTheme="majorHAnsi" w:eastAsiaTheme="majorEastAsia" w:hAnsiTheme="majorHAnsi" w:cstheme="majorBidi"/>
                <w:noProof/>
              </w:rPr>
              <w:t>Verantwortlichkeiten</w:t>
            </w:r>
            <w:r w:rsidR="005B7A57">
              <w:rPr>
                <w:noProof/>
                <w:webHidden/>
              </w:rPr>
              <w:tab/>
            </w:r>
            <w:r w:rsidR="005B7A57">
              <w:rPr>
                <w:noProof/>
                <w:webHidden/>
              </w:rPr>
              <w:fldChar w:fldCharType="begin"/>
            </w:r>
            <w:r w:rsidR="005B7A57">
              <w:rPr>
                <w:noProof/>
                <w:webHidden/>
              </w:rPr>
              <w:instrText xml:space="preserve"> PAGEREF _Toc17278434 \h </w:instrText>
            </w:r>
            <w:r w:rsidR="005B7A57">
              <w:rPr>
                <w:noProof/>
                <w:webHidden/>
              </w:rPr>
            </w:r>
            <w:r w:rsidR="005B7A57">
              <w:rPr>
                <w:noProof/>
                <w:webHidden/>
              </w:rPr>
              <w:fldChar w:fldCharType="separate"/>
            </w:r>
            <w:r w:rsidR="00DE5BF4">
              <w:rPr>
                <w:noProof/>
                <w:webHidden/>
              </w:rPr>
              <w:t>4</w:t>
            </w:r>
            <w:r w:rsidR="005B7A57">
              <w:rPr>
                <w:noProof/>
                <w:webHidden/>
              </w:rPr>
              <w:fldChar w:fldCharType="end"/>
            </w:r>
          </w:hyperlink>
        </w:p>
        <w:p w14:paraId="3D24CDD9" w14:textId="5E5E3F3F" w:rsidR="005B7A57" w:rsidRDefault="00E62C89">
          <w:pPr>
            <w:pStyle w:val="Verzeichnis2"/>
            <w:tabs>
              <w:tab w:val="left" w:pos="660"/>
              <w:tab w:val="right" w:leader="dot" w:pos="9062"/>
            </w:tabs>
            <w:rPr>
              <w:rFonts w:eastAsiaTheme="minorEastAsia"/>
              <w:noProof/>
              <w:lang w:eastAsia="de-DE"/>
            </w:rPr>
          </w:pPr>
          <w:hyperlink w:anchor="_Toc17278435" w:history="1">
            <w:r w:rsidR="005B7A57" w:rsidRPr="00054E38">
              <w:rPr>
                <w:rStyle w:val="Hyperlink"/>
                <w:noProof/>
              </w:rPr>
              <w:t>4.</w:t>
            </w:r>
            <w:r w:rsidR="005B7A57">
              <w:rPr>
                <w:rFonts w:eastAsiaTheme="minorEastAsia"/>
                <w:noProof/>
                <w:lang w:eastAsia="de-DE"/>
              </w:rPr>
              <w:tab/>
            </w:r>
            <w:r w:rsidR="005B7A57" w:rsidRPr="00054E38">
              <w:rPr>
                <w:rStyle w:val="Hyperlink"/>
                <w:noProof/>
              </w:rPr>
              <w:t>Grundsätze und Prinzipien der IT-Sicherheit</w:t>
            </w:r>
            <w:r w:rsidR="005B7A57">
              <w:rPr>
                <w:noProof/>
                <w:webHidden/>
              </w:rPr>
              <w:tab/>
            </w:r>
            <w:r w:rsidR="005B7A57">
              <w:rPr>
                <w:noProof/>
                <w:webHidden/>
              </w:rPr>
              <w:fldChar w:fldCharType="begin"/>
            </w:r>
            <w:r w:rsidR="005B7A57">
              <w:rPr>
                <w:noProof/>
                <w:webHidden/>
              </w:rPr>
              <w:instrText xml:space="preserve"> PAGEREF _Toc17278435 \h </w:instrText>
            </w:r>
            <w:r w:rsidR="005B7A57">
              <w:rPr>
                <w:noProof/>
                <w:webHidden/>
              </w:rPr>
            </w:r>
            <w:r w:rsidR="005B7A57">
              <w:rPr>
                <w:noProof/>
                <w:webHidden/>
              </w:rPr>
              <w:fldChar w:fldCharType="separate"/>
            </w:r>
            <w:r w:rsidR="00DE5BF4">
              <w:rPr>
                <w:noProof/>
                <w:webHidden/>
              </w:rPr>
              <w:t>7</w:t>
            </w:r>
            <w:r w:rsidR="005B7A57">
              <w:rPr>
                <w:noProof/>
                <w:webHidden/>
              </w:rPr>
              <w:fldChar w:fldCharType="end"/>
            </w:r>
          </w:hyperlink>
        </w:p>
        <w:p w14:paraId="47F9D247" w14:textId="7285DEC9" w:rsidR="005B7A57" w:rsidRDefault="00E62C89">
          <w:pPr>
            <w:pStyle w:val="Verzeichnis3"/>
            <w:tabs>
              <w:tab w:val="left" w:pos="1100"/>
              <w:tab w:val="right" w:leader="dot" w:pos="9062"/>
            </w:tabs>
            <w:rPr>
              <w:rFonts w:eastAsiaTheme="minorEastAsia"/>
              <w:noProof/>
              <w:lang w:eastAsia="de-DE"/>
            </w:rPr>
          </w:pPr>
          <w:hyperlink w:anchor="_Toc17278436" w:history="1">
            <w:r w:rsidR="005B7A57" w:rsidRPr="00054E38">
              <w:rPr>
                <w:rStyle w:val="Hyperlink"/>
                <w:noProof/>
              </w:rPr>
              <w:t>4.1</w:t>
            </w:r>
            <w:r w:rsidR="005B7A57">
              <w:rPr>
                <w:rFonts w:eastAsiaTheme="minorEastAsia"/>
                <w:noProof/>
                <w:lang w:eastAsia="de-DE"/>
              </w:rPr>
              <w:tab/>
            </w:r>
            <w:r w:rsidR="005B7A57" w:rsidRPr="00054E38">
              <w:rPr>
                <w:rStyle w:val="Hyperlink"/>
                <w:noProof/>
              </w:rPr>
              <w:t>Registrierung mobiler dienstlicher Endgeräte und Unterweisung der IT-Nutzerinnen und -Nutzer</w:t>
            </w:r>
            <w:r w:rsidR="005B7A57">
              <w:rPr>
                <w:noProof/>
                <w:webHidden/>
              </w:rPr>
              <w:tab/>
            </w:r>
            <w:r w:rsidR="005B7A57">
              <w:rPr>
                <w:noProof/>
                <w:webHidden/>
              </w:rPr>
              <w:fldChar w:fldCharType="begin"/>
            </w:r>
            <w:r w:rsidR="005B7A57">
              <w:rPr>
                <w:noProof/>
                <w:webHidden/>
              </w:rPr>
              <w:instrText xml:space="preserve"> PAGEREF _Toc17278436 \h </w:instrText>
            </w:r>
            <w:r w:rsidR="005B7A57">
              <w:rPr>
                <w:noProof/>
                <w:webHidden/>
              </w:rPr>
            </w:r>
            <w:r w:rsidR="005B7A57">
              <w:rPr>
                <w:noProof/>
                <w:webHidden/>
              </w:rPr>
              <w:fldChar w:fldCharType="separate"/>
            </w:r>
            <w:r w:rsidR="00DE5BF4">
              <w:rPr>
                <w:noProof/>
                <w:webHidden/>
              </w:rPr>
              <w:t>7</w:t>
            </w:r>
            <w:r w:rsidR="005B7A57">
              <w:rPr>
                <w:noProof/>
                <w:webHidden/>
              </w:rPr>
              <w:fldChar w:fldCharType="end"/>
            </w:r>
          </w:hyperlink>
        </w:p>
        <w:p w14:paraId="5604BC77" w14:textId="41BFB470" w:rsidR="005B7A57" w:rsidRDefault="00E62C89">
          <w:pPr>
            <w:pStyle w:val="Verzeichnis3"/>
            <w:tabs>
              <w:tab w:val="left" w:pos="1100"/>
              <w:tab w:val="right" w:leader="dot" w:pos="9062"/>
            </w:tabs>
            <w:rPr>
              <w:rFonts w:eastAsiaTheme="minorEastAsia"/>
              <w:noProof/>
              <w:lang w:eastAsia="de-DE"/>
            </w:rPr>
          </w:pPr>
          <w:hyperlink w:anchor="_Toc17278437" w:history="1">
            <w:r w:rsidR="005B7A57" w:rsidRPr="00054E38">
              <w:rPr>
                <w:rStyle w:val="Hyperlink"/>
                <w:noProof/>
              </w:rPr>
              <w:t>4.2</w:t>
            </w:r>
            <w:r w:rsidR="005B7A57">
              <w:rPr>
                <w:rFonts w:eastAsiaTheme="minorEastAsia"/>
                <w:noProof/>
                <w:lang w:eastAsia="de-DE"/>
              </w:rPr>
              <w:tab/>
            </w:r>
            <w:r w:rsidR="005B7A57" w:rsidRPr="00054E38">
              <w:rPr>
                <w:rStyle w:val="Hyperlink"/>
                <w:noProof/>
              </w:rPr>
              <w:t>Sicherung der IT-Infrastruktur</w:t>
            </w:r>
            <w:r w:rsidR="005B7A57">
              <w:rPr>
                <w:noProof/>
                <w:webHidden/>
              </w:rPr>
              <w:tab/>
            </w:r>
            <w:r w:rsidR="005B7A57">
              <w:rPr>
                <w:noProof/>
                <w:webHidden/>
              </w:rPr>
              <w:fldChar w:fldCharType="begin"/>
            </w:r>
            <w:r w:rsidR="005B7A57">
              <w:rPr>
                <w:noProof/>
                <w:webHidden/>
              </w:rPr>
              <w:instrText xml:space="preserve"> PAGEREF _Toc17278437 \h </w:instrText>
            </w:r>
            <w:r w:rsidR="005B7A57">
              <w:rPr>
                <w:noProof/>
                <w:webHidden/>
              </w:rPr>
            </w:r>
            <w:r w:rsidR="005B7A57">
              <w:rPr>
                <w:noProof/>
                <w:webHidden/>
              </w:rPr>
              <w:fldChar w:fldCharType="separate"/>
            </w:r>
            <w:r w:rsidR="00DE5BF4">
              <w:rPr>
                <w:noProof/>
                <w:webHidden/>
              </w:rPr>
              <w:t>8</w:t>
            </w:r>
            <w:r w:rsidR="005B7A57">
              <w:rPr>
                <w:noProof/>
                <w:webHidden/>
              </w:rPr>
              <w:fldChar w:fldCharType="end"/>
            </w:r>
          </w:hyperlink>
        </w:p>
        <w:p w14:paraId="0EBF16CC" w14:textId="4E2E1CA7" w:rsidR="005B7A57" w:rsidRDefault="00E62C89">
          <w:pPr>
            <w:pStyle w:val="Verzeichnis3"/>
            <w:tabs>
              <w:tab w:val="left" w:pos="1100"/>
              <w:tab w:val="right" w:leader="dot" w:pos="9062"/>
            </w:tabs>
            <w:rPr>
              <w:rFonts w:eastAsiaTheme="minorEastAsia"/>
              <w:noProof/>
              <w:lang w:eastAsia="de-DE"/>
            </w:rPr>
          </w:pPr>
          <w:hyperlink w:anchor="_Toc17278438" w:history="1">
            <w:r w:rsidR="005B7A57" w:rsidRPr="00054E38">
              <w:rPr>
                <w:rStyle w:val="Hyperlink"/>
                <w:noProof/>
              </w:rPr>
              <w:t>4.3</w:t>
            </w:r>
            <w:r w:rsidR="005B7A57">
              <w:rPr>
                <w:rFonts w:eastAsiaTheme="minorEastAsia"/>
                <w:noProof/>
                <w:lang w:eastAsia="de-DE"/>
              </w:rPr>
              <w:tab/>
            </w:r>
            <w:r w:rsidR="005B7A57" w:rsidRPr="00054E38">
              <w:rPr>
                <w:rStyle w:val="Hyperlink"/>
                <w:noProof/>
              </w:rPr>
              <w:t>Schulungen</w:t>
            </w:r>
            <w:r w:rsidR="005B7A57">
              <w:rPr>
                <w:noProof/>
                <w:webHidden/>
              </w:rPr>
              <w:tab/>
            </w:r>
            <w:r w:rsidR="005B7A57">
              <w:rPr>
                <w:noProof/>
                <w:webHidden/>
              </w:rPr>
              <w:fldChar w:fldCharType="begin"/>
            </w:r>
            <w:r w:rsidR="005B7A57">
              <w:rPr>
                <w:noProof/>
                <w:webHidden/>
              </w:rPr>
              <w:instrText xml:space="preserve"> PAGEREF _Toc17278438 \h </w:instrText>
            </w:r>
            <w:r w:rsidR="005B7A57">
              <w:rPr>
                <w:noProof/>
                <w:webHidden/>
              </w:rPr>
            </w:r>
            <w:r w:rsidR="005B7A57">
              <w:rPr>
                <w:noProof/>
                <w:webHidden/>
              </w:rPr>
              <w:fldChar w:fldCharType="separate"/>
            </w:r>
            <w:r w:rsidR="00DE5BF4">
              <w:rPr>
                <w:noProof/>
                <w:webHidden/>
              </w:rPr>
              <w:t>8</w:t>
            </w:r>
            <w:r w:rsidR="005B7A57">
              <w:rPr>
                <w:noProof/>
                <w:webHidden/>
              </w:rPr>
              <w:fldChar w:fldCharType="end"/>
            </w:r>
          </w:hyperlink>
        </w:p>
        <w:p w14:paraId="53DA435C" w14:textId="6B780110" w:rsidR="005B7A57" w:rsidRDefault="00E62C89">
          <w:pPr>
            <w:pStyle w:val="Verzeichnis3"/>
            <w:tabs>
              <w:tab w:val="left" w:pos="1100"/>
              <w:tab w:val="right" w:leader="dot" w:pos="9062"/>
            </w:tabs>
            <w:rPr>
              <w:rFonts w:eastAsiaTheme="minorEastAsia"/>
              <w:noProof/>
              <w:lang w:eastAsia="de-DE"/>
            </w:rPr>
          </w:pPr>
          <w:hyperlink w:anchor="_Toc17278439" w:history="1">
            <w:r w:rsidR="005B7A57" w:rsidRPr="00054E38">
              <w:rPr>
                <w:rStyle w:val="Hyperlink"/>
                <w:noProof/>
              </w:rPr>
              <w:t>4.4</w:t>
            </w:r>
            <w:r w:rsidR="005B7A57">
              <w:rPr>
                <w:rFonts w:eastAsiaTheme="minorEastAsia"/>
                <w:noProof/>
                <w:lang w:eastAsia="de-DE"/>
              </w:rPr>
              <w:tab/>
            </w:r>
            <w:r w:rsidR="005B7A57" w:rsidRPr="00054E38">
              <w:rPr>
                <w:rStyle w:val="Hyperlink"/>
                <w:noProof/>
              </w:rPr>
              <w:t>Zugriffschutz</w:t>
            </w:r>
            <w:r w:rsidR="005B7A57">
              <w:rPr>
                <w:noProof/>
                <w:webHidden/>
              </w:rPr>
              <w:tab/>
            </w:r>
            <w:r w:rsidR="005B7A57">
              <w:rPr>
                <w:noProof/>
                <w:webHidden/>
              </w:rPr>
              <w:fldChar w:fldCharType="begin"/>
            </w:r>
            <w:r w:rsidR="005B7A57">
              <w:rPr>
                <w:noProof/>
                <w:webHidden/>
              </w:rPr>
              <w:instrText xml:space="preserve"> PAGEREF _Toc17278439 \h </w:instrText>
            </w:r>
            <w:r w:rsidR="005B7A57">
              <w:rPr>
                <w:noProof/>
                <w:webHidden/>
              </w:rPr>
            </w:r>
            <w:r w:rsidR="005B7A57">
              <w:rPr>
                <w:noProof/>
                <w:webHidden/>
              </w:rPr>
              <w:fldChar w:fldCharType="separate"/>
            </w:r>
            <w:r w:rsidR="00DE5BF4">
              <w:rPr>
                <w:noProof/>
                <w:webHidden/>
              </w:rPr>
              <w:t>9</w:t>
            </w:r>
            <w:r w:rsidR="005B7A57">
              <w:rPr>
                <w:noProof/>
                <w:webHidden/>
              </w:rPr>
              <w:fldChar w:fldCharType="end"/>
            </w:r>
          </w:hyperlink>
        </w:p>
        <w:p w14:paraId="7757038D" w14:textId="712F88AA" w:rsidR="005B7A57" w:rsidRDefault="00E62C89">
          <w:pPr>
            <w:pStyle w:val="Verzeichnis3"/>
            <w:tabs>
              <w:tab w:val="left" w:pos="1100"/>
              <w:tab w:val="right" w:leader="dot" w:pos="9062"/>
            </w:tabs>
            <w:rPr>
              <w:rFonts w:eastAsiaTheme="minorEastAsia"/>
              <w:noProof/>
              <w:lang w:eastAsia="de-DE"/>
            </w:rPr>
          </w:pPr>
          <w:hyperlink w:anchor="_Toc17278440" w:history="1">
            <w:r w:rsidR="005B7A57" w:rsidRPr="00054E38">
              <w:rPr>
                <w:rStyle w:val="Hyperlink"/>
                <w:noProof/>
              </w:rPr>
              <w:t>4.5</w:t>
            </w:r>
            <w:r w:rsidR="005B7A57">
              <w:rPr>
                <w:rFonts w:eastAsiaTheme="minorEastAsia"/>
                <w:noProof/>
                <w:lang w:eastAsia="de-DE"/>
              </w:rPr>
              <w:tab/>
            </w:r>
            <w:r w:rsidR="005B7A57" w:rsidRPr="00054E38">
              <w:rPr>
                <w:rStyle w:val="Hyperlink"/>
                <w:noProof/>
              </w:rPr>
              <w:t>Virenschutz</w:t>
            </w:r>
            <w:r w:rsidR="005B7A57">
              <w:rPr>
                <w:noProof/>
                <w:webHidden/>
              </w:rPr>
              <w:tab/>
            </w:r>
            <w:r w:rsidR="005B7A57">
              <w:rPr>
                <w:noProof/>
                <w:webHidden/>
              </w:rPr>
              <w:fldChar w:fldCharType="begin"/>
            </w:r>
            <w:r w:rsidR="005B7A57">
              <w:rPr>
                <w:noProof/>
                <w:webHidden/>
              </w:rPr>
              <w:instrText xml:space="preserve"> PAGEREF _Toc17278440 \h </w:instrText>
            </w:r>
            <w:r w:rsidR="005B7A57">
              <w:rPr>
                <w:noProof/>
                <w:webHidden/>
              </w:rPr>
            </w:r>
            <w:r w:rsidR="005B7A57">
              <w:rPr>
                <w:noProof/>
                <w:webHidden/>
              </w:rPr>
              <w:fldChar w:fldCharType="separate"/>
            </w:r>
            <w:r w:rsidR="00DE5BF4">
              <w:rPr>
                <w:noProof/>
                <w:webHidden/>
              </w:rPr>
              <w:t>9</w:t>
            </w:r>
            <w:r w:rsidR="005B7A57">
              <w:rPr>
                <w:noProof/>
                <w:webHidden/>
              </w:rPr>
              <w:fldChar w:fldCharType="end"/>
            </w:r>
          </w:hyperlink>
        </w:p>
        <w:p w14:paraId="60301DF9" w14:textId="193ACA61" w:rsidR="005B7A57" w:rsidRDefault="00E62C89">
          <w:pPr>
            <w:pStyle w:val="Verzeichnis3"/>
            <w:tabs>
              <w:tab w:val="left" w:pos="1100"/>
              <w:tab w:val="right" w:leader="dot" w:pos="9062"/>
            </w:tabs>
            <w:rPr>
              <w:rFonts w:eastAsiaTheme="minorEastAsia"/>
              <w:noProof/>
              <w:lang w:eastAsia="de-DE"/>
            </w:rPr>
          </w:pPr>
          <w:hyperlink w:anchor="_Toc17278441" w:history="1">
            <w:r w:rsidR="005B7A57" w:rsidRPr="00054E38">
              <w:rPr>
                <w:rStyle w:val="Hyperlink"/>
                <w:noProof/>
              </w:rPr>
              <w:t>4.6</w:t>
            </w:r>
            <w:r w:rsidR="005B7A57">
              <w:rPr>
                <w:rFonts w:eastAsiaTheme="minorEastAsia"/>
                <w:noProof/>
                <w:lang w:eastAsia="de-DE"/>
              </w:rPr>
              <w:tab/>
            </w:r>
            <w:r w:rsidR="005B7A57" w:rsidRPr="00054E38">
              <w:rPr>
                <w:rStyle w:val="Hyperlink"/>
                <w:noProof/>
              </w:rPr>
              <w:t>Konsequenzen bei Sicherheitsverstößen</w:t>
            </w:r>
            <w:r w:rsidR="005B7A57">
              <w:rPr>
                <w:noProof/>
                <w:webHidden/>
              </w:rPr>
              <w:tab/>
            </w:r>
            <w:r w:rsidR="005B7A57">
              <w:rPr>
                <w:noProof/>
                <w:webHidden/>
              </w:rPr>
              <w:fldChar w:fldCharType="begin"/>
            </w:r>
            <w:r w:rsidR="005B7A57">
              <w:rPr>
                <w:noProof/>
                <w:webHidden/>
              </w:rPr>
              <w:instrText xml:space="preserve"> PAGEREF _Toc17278441 \h </w:instrText>
            </w:r>
            <w:r w:rsidR="005B7A57">
              <w:rPr>
                <w:noProof/>
                <w:webHidden/>
              </w:rPr>
            </w:r>
            <w:r w:rsidR="005B7A57">
              <w:rPr>
                <w:noProof/>
                <w:webHidden/>
              </w:rPr>
              <w:fldChar w:fldCharType="separate"/>
            </w:r>
            <w:r w:rsidR="00DE5BF4">
              <w:rPr>
                <w:noProof/>
                <w:webHidden/>
              </w:rPr>
              <w:t>10</w:t>
            </w:r>
            <w:r w:rsidR="005B7A57">
              <w:rPr>
                <w:noProof/>
                <w:webHidden/>
              </w:rPr>
              <w:fldChar w:fldCharType="end"/>
            </w:r>
          </w:hyperlink>
        </w:p>
        <w:p w14:paraId="30FACD13" w14:textId="6D02EFD9" w:rsidR="005B7A57" w:rsidRDefault="00E62C89">
          <w:pPr>
            <w:pStyle w:val="Verzeichnis2"/>
            <w:tabs>
              <w:tab w:val="left" w:pos="660"/>
              <w:tab w:val="right" w:leader="dot" w:pos="9062"/>
            </w:tabs>
            <w:rPr>
              <w:rFonts w:eastAsiaTheme="minorEastAsia"/>
              <w:noProof/>
              <w:lang w:eastAsia="de-DE"/>
            </w:rPr>
          </w:pPr>
          <w:hyperlink w:anchor="_Toc17278442" w:history="1">
            <w:r w:rsidR="005B7A57" w:rsidRPr="00054E38">
              <w:rPr>
                <w:rStyle w:val="Hyperlink"/>
                <w:noProof/>
              </w:rPr>
              <w:t>5.</w:t>
            </w:r>
            <w:r w:rsidR="005B7A57">
              <w:rPr>
                <w:rFonts w:eastAsiaTheme="minorEastAsia"/>
                <w:noProof/>
                <w:lang w:eastAsia="de-DE"/>
              </w:rPr>
              <w:tab/>
            </w:r>
            <w:r w:rsidR="005B7A57" w:rsidRPr="00054E38">
              <w:rPr>
                <w:rStyle w:val="Hyperlink"/>
                <w:noProof/>
              </w:rPr>
              <w:t>Pflichten der IT-Nutzerinnen und IT-Nutzer</w:t>
            </w:r>
            <w:r w:rsidR="005B7A57">
              <w:rPr>
                <w:noProof/>
                <w:webHidden/>
              </w:rPr>
              <w:tab/>
            </w:r>
            <w:r w:rsidR="005B7A57">
              <w:rPr>
                <w:noProof/>
                <w:webHidden/>
              </w:rPr>
              <w:fldChar w:fldCharType="begin"/>
            </w:r>
            <w:r w:rsidR="005B7A57">
              <w:rPr>
                <w:noProof/>
                <w:webHidden/>
              </w:rPr>
              <w:instrText xml:space="preserve"> PAGEREF _Toc17278442 \h </w:instrText>
            </w:r>
            <w:r w:rsidR="005B7A57">
              <w:rPr>
                <w:noProof/>
                <w:webHidden/>
              </w:rPr>
            </w:r>
            <w:r w:rsidR="005B7A57">
              <w:rPr>
                <w:noProof/>
                <w:webHidden/>
              </w:rPr>
              <w:fldChar w:fldCharType="separate"/>
            </w:r>
            <w:r w:rsidR="00DE5BF4">
              <w:rPr>
                <w:noProof/>
                <w:webHidden/>
              </w:rPr>
              <w:t>11</w:t>
            </w:r>
            <w:r w:rsidR="005B7A57">
              <w:rPr>
                <w:noProof/>
                <w:webHidden/>
              </w:rPr>
              <w:fldChar w:fldCharType="end"/>
            </w:r>
          </w:hyperlink>
        </w:p>
        <w:p w14:paraId="209A0FCC" w14:textId="4A0E5CF4" w:rsidR="005B7A57" w:rsidRDefault="00E62C89">
          <w:pPr>
            <w:pStyle w:val="Verzeichnis3"/>
            <w:tabs>
              <w:tab w:val="left" w:pos="1100"/>
              <w:tab w:val="right" w:leader="dot" w:pos="9062"/>
            </w:tabs>
            <w:rPr>
              <w:rFonts w:eastAsiaTheme="minorEastAsia"/>
              <w:noProof/>
              <w:lang w:eastAsia="de-DE"/>
            </w:rPr>
          </w:pPr>
          <w:hyperlink w:anchor="_Toc17278443" w:history="1">
            <w:r w:rsidR="005B7A57" w:rsidRPr="00054E38">
              <w:rPr>
                <w:rStyle w:val="Hyperlink"/>
                <w:noProof/>
              </w:rPr>
              <w:t>5.1</w:t>
            </w:r>
            <w:r w:rsidR="005B7A57">
              <w:rPr>
                <w:rFonts w:eastAsiaTheme="minorEastAsia"/>
                <w:noProof/>
                <w:lang w:eastAsia="de-DE"/>
              </w:rPr>
              <w:tab/>
            </w:r>
            <w:r w:rsidR="005B7A57" w:rsidRPr="00054E38">
              <w:rPr>
                <w:rStyle w:val="Hyperlink"/>
                <w:noProof/>
              </w:rPr>
              <w:t>Sicherung der IT-Infrastruktur</w:t>
            </w:r>
            <w:r w:rsidR="005B7A57">
              <w:rPr>
                <w:noProof/>
                <w:webHidden/>
              </w:rPr>
              <w:tab/>
            </w:r>
            <w:r w:rsidR="005B7A57">
              <w:rPr>
                <w:noProof/>
                <w:webHidden/>
              </w:rPr>
              <w:fldChar w:fldCharType="begin"/>
            </w:r>
            <w:r w:rsidR="005B7A57">
              <w:rPr>
                <w:noProof/>
                <w:webHidden/>
              </w:rPr>
              <w:instrText xml:space="preserve"> PAGEREF _Toc17278443 \h </w:instrText>
            </w:r>
            <w:r w:rsidR="005B7A57">
              <w:rPr>
                <w:noProof/>
                <w:webHidden/>
              </w:rPr>
            </w:r>
            <w:r w:rsidR="005B7A57">
              <w:rPr>
                <w:noProof/>
                <w:webHidden/>
              </w:rPr>
              <w:fldChar w:fldCharType="separate"/>
            </w:r>
            <w:r w:rsidR="00DE5BF4">
              <w:rPr>
                <w:noProof/>
                <w:webHidden/>
              </w:rPr>
              <w:t>11</w:t>
            </w:r>
            <w:r w:rsidR="005B7A57">
              <w:rPr>
                <w:noProof/>
                <w:webHidden/>
              </w:rPr>
              <w:fldChar w:fldCharType="end"/>
            </w:r>
          </w:hyperlink>
        </w:p>
        <w:p w14:paraId="515CB9EF" w14:textId="36B30AD4" w:rsidR="005B7A57" w:rsidRDefault="00E62C89">
          <w:pPr>
            <w:pStyle w:val="Verzeichnis3"/>
            <w:tabs>
              <w:tab w:val="left" w:pos="1100"/>
              <w:tab w:val="right" w:leader="dot" w:pos="9062"/>
            </w:tabs>
            <w:rPr>
              <w:rFonts w:eastAsiaTheme="minorEastAsia"/>
              <w:noProof/>
              <w:lang w:eastAsia="de-DE"/>
            </w:rPr>
          </w:pPr>
          <w:hyperlink w:anchor="_Toc17278444" w:history="1">
            <w:r w:rsidR="005B7A57" w:rsidRPr="00054E38">
              <w:rPr>
                <w:rStyle w:val="Hyperlink"/>
                <w:noProof/>
              </w:rPr>
              <w:t>5.2</w:t>
            </w:r>
            <w:r w:rsidR="005B7A57">
              <w:rPr>
                <w:rFonts w:eastAsiaTheme="minorEastAsia"/>
                <w:noProof/>
                <w:lang w:eastAsia="de-DE"/>
              </w:rPr>
              <w:tab/>
            </w:r>
            <w:r w:rsidR="005B7A57" w:rsidRPr="00054E38">
              <w:rPr>
                <w:rStyle w:val="Hyperlink"/>
                <w:noProof/>
              </w:rPr>
              <w:t>Nutzung und Sicherung mobiler dienstlicher Geräte</w:t>
            </w:r>
            <w:r w:rsidR="005B7A57">
              <w:rPr>
                <w:noProof/>
                <w:webHidden/>
              </w:rPr>
              <w:tab/>
            </w:r>
            <w:r w:rsidR="005B7A57">
              <w:rPr>
                <w:noProof/>
                <w:webHidden/>
              </w:rPr>
              <w:fldChar w:fldCharType="begin"/>
            </w:r>
            <w:r w:rsidR="005B7A57">
              <w:rPr>
                <w:noProof/>
                <w:webHidden/>
              </w:rPr>
              <w:instrText xml:space="preserve"> PAGEREF _Toc17278444 \h </w:instrText>
            </w:r>
            <w:r w:rsidR="005B7A57">
              <w:rPr>
                <w:noProof/>
                <w:webHidden/>
              </w:rPr>
            </w:r>
            <w:r w:rsidR="005B7A57">
              <w:rPr>
                <w:noProof/>
                <w:webHidden/>
              </w:rPr>
              <w:fldChar w:fldCharType="separate"/>
            </w:r>
            <w:r w:rsidR="00DE5BF4">
              <w:rPr>
                <w:noProof/>
                <w:webHidden/>
              </w:rPr>
              <w:t>11</w:t>
            </w:r>
            <w:r w:rsidR="005B7A57">
              <w:rPr>
                <w:noProof/>
                <w:webHidden/>
              </w:rPr>
              <w:fldChar w:fldCharType="end"/>
            </w:r>
          </w:hyperlink>
        </w:p>
        <w:p w14:paraId="6D55E1D5" w14:textId="2F75D29F" w:rsidR="005B7A57" w:rsidRDefault="00E62C89">
          <w:pPr>
            <w:pStyle w:val="Verzeichnis3"/>
            <w:tabs>
              <w:tab w:val="left" w:pos="1100"/>
              <w:tab w:val="right" w:leader="dot" w:pos="9062"/>
            </w:tabs>
            <w:rPr>
              <w:rFonts w:eastAsiaTheme="minorEastAsia"/>
              <w:noProof/>
              <w:lang w:eastAsia="de-DE"/>
            </w:rPr>
          </w:pPr>
          <w:hyperlink w:anchor="_Toc17278445" w:history="1">
            <w:r w:rsidR="005B7A57" w:rsidRPr="00054E38">
              <w:rPr>
                <w:rStyle w:val="Hyperlink"/>
                <w:noProof/>
              </w:rPr>
              <w:t>5.3</w:t>
            </w:r>
            <w:r w:rsidR="005B7A57">
              <w:rPr>
                <w:rFonts w:eastAsiaTheme="minorEastAsia"/>
                <w:noProof/>
                <w:lang w:eastAsia="de-DE"/>
              </w:rPr>
              <w:tab/>
            </w:r>
            <w:r w:rsidR="005B7A57" w:rsidRPr="00054E38">
              <w:rPr>
                <w:rStyle w:val="Hyperlink"/>
                <w:noProof/>
              </w:rPr>
              <w:t>Telearbeit</w:t>
            </w:r>
            <w:r w:rsidR="005B7A57">
              <w:rPr>
                <w:noProof/>
                <w:webHidden/>
              </w:rPr>
              <w:tab/>
            </w:r>
            <w:r w:rsidR="005B7A57">
              <w:rPr>
                <w:noProof/>
                <w:webHidden/>
              </w:rPr>
              <w:fldChar w:fldCharType="begin"/>
            </w:r>
            <w:r w:rsidR="005B7A57">
              <w:rPr>
                <w:noProof/>
                <w:webHidden/>
              </w:rPr>
              <w:instrText xml:space="preserve"> PAGEREF _Toc17278445 \h </w:instrText>
            </w:r>
            <w:r w:rsidR="005B7A57">
              <w:rPr>
                <w:noProof/>
                <w:webHidden/>
              </w:rPr>
            </w:r>
            <w:r w:rsidR="005B7A57">
              <w:rPr>
                <w:noProof/>
                <w:webHidden/>
              </w:rPr>
              <w:fldChar w:fldCharType="separate"/>
            </w:r>
            <w:r w:rsidR="00DE5BF4">
              <w:rPr>
                <w:noProof/>
                <w:webHidden/>
              </w:rPr>
              <w:t>12</w:t>
            </w:r>
            <w:r w:rsidR="005B7A57">
              <w:rPr>
                <w:noProof/>
                <w:webHidden/>
              </w:rPr>
              <w:fldChar w:fldCharType="end"/>
            </w:r>
          </w:hyperlink>
        </w:p>
        <w:p w14:paraId="12C5AAAF" w14:textId="55604FBF" w:rsidR="005B7A57" w:rsidRDefault="00E62C89">
          <w:pPr>
            <w:pStyle w:val="Verzeichnis3"/>
            <w:tabs>
              <w:tab w:val="left" w:pos="1100"/>
              <w:tab w:val="right" w:leader="dot" w:pos="9062"/>
            </w:tabs>
            <w:rPr>
              <w:rFonts w:eastAsiaTheme="minorEastAsia"/>
              <w:noProof/>
              <w:lang w:eastAsia="de-DE"/>
            </w:rPr>
          </w:pPr>
          <w:hyperlink w:anchor="_Toc17278446" w:history="1">
            <w:r w:rsidR="005B7A57" w:rsidRPr="00054E38">
              <w:rPr>
                <w:rStyle w:val="Hyperlink"/>
                <w:noProof/>
              </w:rPr>
              <w:t>5.4</w:t>
            </w:r>
            <w:r w:rsidR="005B7A57">
              <w:rPr>
                <w:rFonts w:eastAsiaTheme="minorEastAsia"/>
                <w:noProof/>
                <w:lang w:eastAsia="de-DE"/>
              </w:rPr>
              <w:tab/>
            </w:r>
            <w:r w:rsidR="005B7A57" w:rsidRPr="00054E38">
              <w:rPr>
                <w:rStyle w:val="Hyperlink"/>
                <w:noProof/>
              </w:rPr>
              <w:t>Kontrollierter Software-Einsatz</w:t>
            </w:r>
            <w:r w:rsidR="005B7A57">
              <w:rPr>
                <w:noProof/>
                <w:webHidden/>
              </w:rPr>
              <w:tab/>
            </w:r>
            <w:r w:rsidR="005B7A57">
              <w:rPr>
                <w:noProof/>
                <w:webHidden/>
              </w:rPr>
              <w:fldChar w:fldCharType="begin"/>
            </w:r>
            <w:r w:rsidR="005B7A57">
              <w:rPr>
                <w:noProof/>
                <w:webHidden/>
              </w:rPr>
              <w:instrText xml:space="preserve"> PAGEREF _Toc17278446 \h </w:instrText>
            </w:r>
            <w:r w:rsidR="005B7A57">
              <w:rPr>
                <w:noProof/>
                <w:webHidden/>
              </w:rPr>
            </w:r>
            <w:r w:rsidR="005B7A57">
              <w:rPr>
                <w:noProof/>
                <w:webHidden/>
              </w:rPr>
              <w:fldChar w:fldCharType="separate"/>
            </w:r>
            <w:r w:rsidR="00DE5BF4">
              <w:rPr>
                <w:noProof/>
                <w:webHidden/>
              </w:rPr>
              <w:t>12</w:t>
            </w:r>
            <w:r w:rsidR="005B7A57">
              <w:rPr>
                <w:noProof/>
                <w:webHidden/>
              </w:rPr>
              <w:fldChar w:fldCharType="end"/>
            </w:r>
          </w:hyperlink>
        </w:p>
        <w:p w14:paraId="4431AA41" w14:textId="3840B9E3" w:rsidR="005B7A57" w:rsidRDefault="00E62C89">
          <w:pPr>
            <w:pStyle w:val="Verzeichnis3"/>
            <w:tabs>
              <w:tab w:val="left" w:pos="1100"/>
              <w:tab w:val="right" w:leader="dot" w:pos="9062"/>
            </w:tabs>
            <w:rPr>
              <w:rFonts w:eastAsiaTheme="minorEastAsia"/>
              <w:noProof/>
              <w:lang w:eastAsia="de-DE"/>
            </w:rPr>
          </w:pPr>
          <w:hyperlink w:anchor="_Toc17278447" w:history="1">
            <w:r w:rsidR="005B7A57" w:rsidRPr="00054E38">
              <w:rPr>
                <w:rStyle w:val="Hyperlink"/>
                <w:noProof/>
              </w:rPr>
              <w:t>5.5</w:t>
            </w:r>
            <w:r w:rsidR="005B7A57">
              <w:rPr>
                <w:rFonts w:eastAsiaTheme="minorEastAsia"/>
                <w:noProof/>
                <w:lang w:eastAsia="de-DE"/>
              </w:rPr>
              <w:tab/>
            </w:r>
            <w:r w:rsidR="005B7A57" w:rsidRPr="00054E38">
              <w:rPr>
                <w:rStyle w:val="Hyperlink"/>
                <w:noProof/>
              </w:rPr>
              <w:t>Nutzung privater Hard- und Software</w:t>
            </w:r>
            <w:r w:rsidR="005B7A57">
              <w:rPr>
                <w:noProof/>
                <w:webHidden/>
              </w:rPr>
              <w:tab/>
            </w:r>
            <w:r w:rsidR="005B7A57">
              <w:rPr>
                <w:noProof/>
                <w:webHidden/>
              </w:rPr>
              <w:fldChar w:fldCharType="begin"/>
            </w:r>
            <w:r w:rsidR="005B7A57">
              <w:rPr>
                <w:noProof/>
                <w:webHidden/>
              </w:rPr>
              <w:instrText xml:space="preserve"> PAGEREF _Toc17278447 \h </w:instrText>
            </w:r>
            <w:r w:rsidR="005B7A57">
              <w:rPr>
                <w:noProof/>
                <w:webHidden/>
              </w:rPr>
            </w:r>
            <w:r w:rsidR="005B7A57">
              <w:rPr>
                <w:noProof/>
                <w:webHidden/>
              </w:rPr>
              <w:fldChar w:fldCharType="separate"/>
            </w:r>
            <w:r w:rsidR="00DE5BF4">
              <w:rPr>
                <w:noProof/>
                <w:webHidden/>
              </w:rPr>
              <w:t>12</w:t>
            </w:r>
            <w:r w:rsidR="005B7A57">
              <w:rPr>
                <w:noProof/>
                <w:webHidden/>
              </w:rPr>
              <w:fldChar w:fldCharType="end"/>
            </w:r>
          </w:hyperlink>
        </w:p>
        <w:p w14:paraId="405D5FAC" w14:textId="66E19264" w:rsidR="005B7A57" w:rsidRDefault="00E62C89">
          <w:pPr>
            <w:pStyle w:val="Verzeichnis3"/>
            <w:tabs>
              <w:tab w:val="left" w:pos="1100"/>
              <w:tab w:val="right" w:leader="dot" w:pos="9062"/>
            </w:tabs>
            <w:rPr>
              <w:rFonts w:eastAsiaTheme="minorEastAsia"/>
              <w:noProof/>
              <w:lang w:eastAsia="de-DE"/>
            </w:rPr>
          </w:pPr>
          <w:hyperlink w:anchor="_Toc17278448" w:history="1">
            <w:r w:rsidR="005B7A57" w:rsidRPr="00054E38">
              <w:rPr>
                <w:rStyle w:val="Hyperlink"/>
                <w:noProof/>
              </w:rPr>
              <w:t>5.6</w:t>
            </w:r>
            <w:r w:rsidR="005B7A57">
              <w:rPr>
                <w:rFonts w:eastAsiaTheme="minorEastAsia"/>
                <w:noProof/>
                <w:lang w:eastAsia="de-DE"/>
              </w:rPr>
              <w:tab/>
            </w:r>
            <w:r w:rsidR="005B7A57" w:rsidRPr="00054E38">
              <w:rPr>
                <w:rStyle w:val="Hyperlink"/>
                <w:noProof/>
              </w:rPr>
              <w:t>Virenschutz</w:t>
            </w:r>
            <w:r w:rsidR="005B7A57">
              <w:rPr>
                <w:noProof/>
                <w:webHidden/>
              </w:rPr>
              <w:tab/>
            </w:r>
            <w:r w:rsidR="005B7A57">
              <w:rPr>
                <w:noProof/>
                <w:webHidden/>
              </w:rPr>
              <w:fldChar w:fldCharType="begin"/>
            </w:r>
            <w:r w:rsidR="005B7A57">
              <w:rPr>
                <w:noProof/>
                <w:webHidden/>
              </w:rPr>
              <w:instrText xml:space="preserve"> PAGEREF _Toc17278448 \h </w:instrText>
            </w:r>
            <w:r w:rsidR="005B7A57">
              <w:rPr>
                <w:noProof/>
                <w:webHidden/>
              </w:rPr>
            </w:r>
            <w:r w:rsidR="005B7A57">
              <w:rPr>
                <w:noProof/>
                <w:webHidden/>
              </w:rPr>
              <w:fldChar w:fldCharType="separate"/>
            </w:r>
            <w:r w:rsidR="00DE5BF4">
              <w:rPr>
                <w:noProof/>
                <w:webHidden/>
              </w:rPr>
              <w:t>13</w:t>
            </w:r>
            <w:r w:rsidR="005B7A57">
              <w:rPr>
                <w:noProof/>
                <w:webHidden/>
              </w:rPr>
              <w:fldChar w:fldCharType="end"/>
            </w:r>
          </w:hyperlink>
        </w:p>
        <w:p w14:paraId="592C1E14" w14:textId="55F04B3D" w:rsidR="005B7A57" w:rsidRDefault="00E62C89">
          <w:pPr>
            <w:pStyle w:val="Verzeichnis3"/>
            <w:tabs>
              <w:tab w:val="left" w:pos="1100"/>
              <w:tab w:val="right" w:leader="dot" w:pos="9062"/>
            </w:tabs>
            <w:rPr>
              <w:rFonts w:eastAsiaTheme="minorEastAsia"/>
              <w:noProof/>
              <w:lang w:eastAsia="de-DE"/>
            </w:rPr>
          </w:pPr>
          <w:hyperlink w:anchor="_Toc17278449" w:history="1">
            <w:r w:rsidR="005B7A57" w:rsidRPr="00054E38">
              <w:rPr>
                <w:rStyle w:val="Hyperlink"/>
                <w:noProof/>
              </w:rPr>
              <w:t>5.7</w:t>
            </w:r>
            <w:r w:rsidR="005B7A57">
              <w:rPr>
                <w:rFonts w:eastAsiaTheme="minorEastAsia"/>
                <w:noProof/>
                <w:lang w:eastAsia="de-DE"/>
              </w:rPr>
              <w:tab/>
            </w:r>
            <w:r w:rsidR="005B7A57" w:rsidRPr="00054E38">
              <w:rPr>
                <w:rStyle w:val="Hyperlink"/>
                <w:noProof/>
              </w:rPr>
              <w:t>Zugriffsschutz</w:t>
            </w:r>
            <w:r w:rsidR="005B7A57">
              <w:rPr>
                <w:noProof/>
                <w:webHidden/>
              </w:rPr>
              <w:tab/>
            </w:r>
            <w:r w:rsidR="005B7A57">
              <w:rPr>
                <w:noProof/>
                <w:webHidden/>
              </w:rPr>
              <w:fldChar w:fldCharType="begin"/>
            </w:r>
            <w:r w:rsidR="005B7A57">
              <w:rPr>
                <w:noProof/>
                <w:webHidden/>
              </w:rPr>
              <w:instrText xml:space="preserve"> PAGEREF _Toc17278449 \h </w:instrText>
            </w:r>
            <w:r w:rsidR="005B7A57">
              <w:rPr>
                <w:noProof/>
                <w:webHidden/>
              </w:rPr>
            </w:r>
            <w:r w:rsidR="005B7A57">
              <w:rPr>
                <w:noProof/>
                <w:webHidden/>
              </w:rPr>
              <w:fldChar w:fldCharType="separate"/>
            </w:r>
            <w:r w:rsidR="00DE5BF4">
              <w:rPr>
                <w:noProof/>
                <w:webHidden/>
              </w:rPr>
              <w:t>13</w:t>
            </w:r>
            <w:r w:rsidR="005B7A57">
              <w:rPr>
                <w:noProof/>
                <w:webHidden/>
              </w:rPr>
              <w:fldChar w:fldCharType="end"/>
            </w:r>
          </w:hyperlink>
        </w:p>
        <w:p w14:paraId="0C8AC1E1" w14:textId="0BD37A28" w:rsidR="005B7A57" w:rsidRDefault="00E62C89">
          <w:pPr>
            <w:pStyle w:val="Verzeichnis3"/>
            <w:tabs>
              <w:tab w:val="left" w:pos="1100"/>
              <w:tab w:val="right" w:leader="dot" w:pos="9062"/>
            </w:tabs>
            <w:rPr>
              <w:rFonts w:eastAsiaTheme="minorEastAsia"/>
              <w:noProof/>
              <w:lang w:eastAsia="de-DE"/>
            </w:rPr>
          </w:pPr>
          <w:hyperlink w:anchor="_Toc17278450" w:history="1">
            <w:r w:rsidR="005B7A57" w:rsidRPr="00054E38">
              <w:rPr>
                <w:rStyle w:val="Hyperlink"/>
                <w:noProof/>
              </w:rPr>
              <w:t>5.8</w:t>
            </w:r>
            <w:r w:rsidR="005B7A57">
              <w:rPr>
                <w:rFonts w:eastAsiaTheme="minorEastAsia"/>
                <w:noProof/>
                <w:lang w:eastAsia="de-DE"/>
              </w:rPr>
              <w:tab/>
            </w:r>
            <w:r w:rsidR="005B7A57" w:rsidRPr="00054E38">
              <w:rPr>
                <w:rStyle w:val="Hyperlink"/>
                <w:noProof/>
              </w:rPr>
              <w:t>Netzzugang</w:t>
            </w:r>
            <w:r w:rsidR="005B7A57">
              <w:rPr>
                <w:noProof/>
                <w:webHidden/>
              </w:rPr>
              <w:tab/>
            </w:r>
            <w:r w:rsidR="005B7A57">
              <w:rPr>
                <w:noProof/>
                <w:webHidden/>
              </w:rPr>
              <w:fldChar w:fldCharType="begin"/>
            </w:r>
            <w:r w:rsidR="005B7A57">
              <w:rPr>
                <w:noProof/>
                <w:webHidden/>
              </w:rPr>
              <w:instrText xml:space="preserve"> PAGEREF _Toc17278450 \h </w:instrText>
            </w:r>
            <w:r w:rsidR="005B7A57">
              <w:rPr>
                <w:noProof/>
                <w:webHidden/>
              </w:rPr>
            </w:r>
            <w:r w:rsidR="005B7A57">
              <w:rPr>
                <w:noProof/>
                <w:webHidden/>
              </w:rPr>
              <w:fldChar w:fldCharType="separate"/>
            </w:r>
            <w:r w:rsidR="00DE5BF4">
              <w:rPr>
                <w:noProof/>
                <w:webHidden/>
              </w:rPr>
              <w:t>14</w:t>
            </w:r>
            <w:r w:rsidR="005B7A57">
              <w:rPr>
                <w:noProof/>
                <w:webHidden/>
              </w:rPr>
              <w:fldChar w:fldCharType="end"/>
            </w:r>
          </w:hyperlink>
        </w:p>
        <w:p w14:paraId="423C9BB2" w14:textId="2A9C6D27" w:rsidR="005B7A57" w:rsidRDefault="00E62C89">
          <w:pPr>
            <w:pStyle w:val="Verzeichnis3"/>
            <w:tabs>
              <w:tab w:val="left" w:pos="1100"/>
              <w:tab w:val="right" w:leader="dot" w:pos="9062"/>
            </w:tabs>
            <w:rPr>
              <w:rFonts w:eastAsiaTheme="minorEastAsia"/>
              <w:noProof/>
              <w:lang w:eastAsia="de-DE"/>
            </w:rPr>
          </w:pPr>
          <w:hyperlink w:anchor="_Toc17278451" w:history="1">
            <w:r w:rsidR="005B7A57" w:rsidRPr="00054E38">
              <w:rPr>
                <w:rStyle w:val="Hyperlink"/>
                <w:noProof/>
              </w:rPr>
              <w:t>5.9</w:t>
            </w:r>
            <w:r w:rsidR="005B7A57">
              <w:rPr>
                <w:rFonts w:eastAsiaTheme="minorEastAsia"/>
                <w:noProof/>
                <w:lang w:eastAsia="de-DE"/>
              </w:rPr>
              <w:tab/>
            </w:r>
            <w:r w:rsidR="005B7A57" w:rsidRPr="00054E38">
              <w:rPr>
                <w:rStyle w:val="Hyperlink"/>
                <w:noProof/>
              </w:rPr>
              <w:t>Sichere Netzwerknutzung</w:t>
            </w:r>
            <w:r w:rsidR="005B7A57">
              <w:rPr>
                <w:noProof/>
                <w:webHidden/>
              </w:rPr>
              <w:tab/>
            </w:r>
            <w:r w:rsidR="005B7A57">
              <w:rPr>
                <w:noProof/>
                <w:webHidden/>
              </w:rPr>
              <w:fldChar w:fldCharType="begin"/>
            </w:r>
            <w:r w:rsidR="005B7A57">
              <w:rPr>
                <w:noProof/>
                <w:webHidden/>
              </w:rPr>
              <w:instrText xml:space="preserve"> PAGEREF _Toc17278451 \h </w:instrText>
            </w:r>
            <w:r w:rsidR="005B7A57">
              <w:rPr>
                <w:noProof/>
                <w:webHidden/>
              </w:rPr>
            </w:r>
            <w:r w:rsidR="005B7A57">
              <w:rPr>
                <w:noProof/>
                <w:webHidden/>
              </w:rPr>
              <w:fldChar w:fldCharType="separate"/>
            </w:r>
            <w:r w:rsidR="00DE5BF4">
              <w:rPr>
                <w:noProof/>
                <w:webHidden/>
              </w:rPr>
              <w:t>14</w:t>
            </w:r>
            <w:r w:rsidR="005B7A57">
              <w:rPr>
                <w:noProof/>
                <w:webHidden/>
              </w:rPr>
              <w:fldChar w:fldCharType="end"/>
            </w:r>
          </w:hyperlink>
        </w:p>
        <w:p w14:paraId="2A2DD607" w14:textId="7BD91A08" w:rsidR="005B7A57" w:rsidRDefault="00E62C89">
          <w:pPr>
            <w:pStyle w:val="Verzeichnis3"/>
            <w:tabs>
              <w:tab w:val="left" w:pos="1100"/>
              <w:tab w:val="right" w:leader="dot" w:pos="9062"/>
            </w:tabs>
            <w:rPr>
              <w:rFonts w:eastAsiaTheme="minorEastAsia"/>
              <w:noProof/>
              <w:lang w:eastAsia="de-DE"/>
            </w:rPr>
          </w:pPr>
          <w:hyperlink w:anchor="_Toc17278452" w:history="1">
            <w:r w:rsidR="005B7A57" w:rsidRPr="00054E38">
              <w:rPr>
                <w:rStyle w:val="Hyperlink"/>
                <w:noProof/>
              </w:rPr>
              <w:t>5.10</w:t>
            </w:r>
            <w:r w:rsidR="005B7A57">
              <w:rPr>
                <w:rFonts w:eastAsiaTheme="minorEastAsia"/>
                <w:noProof/>
                <w:lang w:eastAsia="de-DE"/>
              </w:rPr>
              <w:tab/>
            </w:r>
            <w:r w:rsidR="005B7A57" w:rsidRPr="00054E38">
              <w:rPr>
                <w:rStyle w:val="Hyperlink"/>
                <w:noProof/>
              </w:rPr>
              <w:t>Datensicherung</w:t>
            </w:r>
            <w:r w:rsidR="005B7A57">
              <w:rPr>
                <w:noProof/>
                <w:webHidden/>
              </w:rPr>
              <w:tab/>
            </w:r>
            <w:r w:rsidR="005B7A57">
              <w:rPr>
                <w:noProof/>
                <w:webHidden/>
              </w:rPr>
              <w:fldChar w:fldCharType="begin"/>
            </w:r>
            <w:r w:rsidR="005B7A57">
              <w:rPr>
                <w:noProof/>
                <w:webHidden/>
              </w:rPr>
              <w:instrText xml:space="preserve"> PAGEREF _Toc17278452 \h </w:instrText>
            </w:r>
            <w:r w:rsidR="005B7A57">
              <w:rPr>
                <w:noProof/>
                <w:webHidden/>
              </w:rPr>
            </w:r>
            <w:r w:rsidR="005B7A57">
              <w:rPr>
                <w:noProof/>
                <w:webHidden/>
              </w:rPr>
              <w:fldChar w:fldCharType="separate"/>
            </w:r>
            <w:r w:rsidR="00DE5BF4">
              <w:rPr>
                <w:noProof/>
                <w:webHidden/>
              </w:rPr>
              <w:t>15</w:t>
            </w:r>
            <w:r w:rsidR="005B7A57">
              <w:rPr>
                <w:noProof/>
                <w:webHidden/>
              </w:rPr>
              <w:fldChar w:fldCharType="end"/>
            </w:r>
          </w:hyperlink>
        </w:p>
        <w:p w14:paraId="3B78A6A1" w14:textId="779267FC" w:rsidR="005B7A57" w:rsidRDefault="00E62C89">
          <w:pPr>
            <w:pStyle w:val="Verzeichnis3"/>
            <w:tabs>
              <w:tab w:val="left" w:pos="1100"/>
              <w:tab w:val="right" w:leader="dot" w:pos="9062"/>
            </w:tabs>
            <w:rPr>
              <w:rFonts w:eastAsiaTheme="minorEastAsia"/>
              <w:noProof/>
              <w:lang w:eastAsia="de-DE"/>
            </w:rPr>
          </w:pPr>
          <w:hyperlink w:anchor="_Toc17278453" w:history="1">
            <w:r w:rsidR="005B7A57" w:rsidRPr="00054E38">
              <w:rPr>
                <w:rStyle w:val="Hyperlink"/>
                <w:noProof/>
              </w:rPr>
              <w:t>5.11</w:t>
            </w:r>
            <w:r w:rsidR="005B7A57">
              <w:rPr>
                <w:rFonts w:eastAsiaTheme="minorEastAsia"/>
                <w:noProof/>
                <w:lang w:eastAsia="de-DE"/>
              </w:rPr>
              <w:tab/>
            </w:r>
            <w:r w:rsidR="005B7A57" w:rsidRPr="00054E38">
              <w:rPr>
                <w:rStyle w:val="Hyperlink"/>
                <w:noProof/>
              </w:rPr>
              <w:t>Datenlöschung</w:t>
            </w:r>
            <w:r w:rsidR="005B7A57">
              <w:rPr>
                <w:noProof/>
                <w:webHidden/>
              </w:rPr>
              <w:tab/>
            </w:r>
            <w:r w:rsidR="005B7A57">
              <w:rPr>
                <w:noProof/>
                <w:webHidden/>
              </w:rPr>
              <w:fldChar w:fldCharType="begin"/>
            </w:r>
            <w:r w:rsidR="005B7A57">
              <w:rPr>
                <w:noProof/>
                <w:webHidden/>
              </w:rPr>
              <w:instrText xml:space="preserve"> PAGEREF _Toc17278453 \h </w:instrText>
            </w:r>
            <w:r w:rsidR="005B7A57">
              <w:rPr>
                <w:noProof/>
                <w:webHidden/>
              </w:rPr>
            </w:r>
            <w:r w:rsidR="005B7A57">
              <w:rPr>
                <w:noProof/>
                <w:webHidden/>
              </w:rPr>
              <w:fldChar w:fldCharType="separate"/>
            </w:r>
            <w:r w:rsidR="00DE5BF4">
              <w:rPr>
                <w:noProof/>
                <w:webHidden/>
              </w:rPr>
              <w:t>16</w:t>
            </w:r>
            <w:r w:rsidR="005B7A57">
              <w:rPr>
                <w:noProof/>
                <w:webHidden/>
              </w:rPr>
              <w:fldChar w:fldCharType="end"/>
            </w:r>
          </w:hyperlink>
        </w:p>
        <w:p w14:paraId="1E9D5165" w14:textId="53401377" w:rsidR="005B7A57" w:rsidRDefault="00E62C89">
          <w:pPr>
            <w:pStyle w:val="Verzeichnis3"/>
            <w:tabs>
              <w:tab w:val="left" w:pos="1100"/>
              <w:tab w:val="right" w:leader="dot" w:pos="9062"/>
            </w:tabs>
            <w:rPr>
              <w:rFonts w:eastAsiaTheme="minorEastAsia"/>
              <w:noProof/>
              <w:lang w:eastAsia="de-DE"/>
            </w:rPr>
          </w:pPr>
          <w:hyperlink w:anchor="_Toc17278454" w:history="1">
            <w:r w:rsidR="005B7A57" w:rsidRPr="00054E38">
              <w:rPr>
                <w:rStyle w:val="Hyperlink"/>
                <w:noProof/>
              </w:rPr>
              <w:t>5.12</w:t>
            </w:r>
            <w:r w:rsidR="005B7A57">
              <w:rPr>
                <w:rFonts w:eastAsiaTheme="minorEastAsia"/>
                <w:noProof/>
                <w:lang w:eastAsia="de-DE"/>
              </w:rPr>
              <w:tab/>
            </w:r>
            <w:r w:rsidR="005B7A57" w:rsidRPr="00054E38">
              <w:rPr>
                <w:rStyle w:val="Hyperlink"/>
                <w:noProof/>
              </w:rPr>
              <w:t>Meldung von Sicherheitsproblemen und Datenpannen</w:t>
            </w:r>
            <w:r w:rsidR="005B7A57">
              <w:rPr>
                <w:noProof/>
                <w:webHidden/>
              </w:rPr>
              <w:tab/>
            </w:r>
            <w:r w:rsidR="005B7A57">
              <w:rPr>
                <w:noProof/>
                <w:webHidden/>
              </w:rPr>
              <w:fldChar w:fldCharType="begin"/>
            </w:r>
            <w:r w:rsidR="005B7A57">
              <w:rPr>
                <w:noProof/>
                <w:webHidden/>
              </w:rPr>
              <w:instrText xml:space="preserve"> PAGEREF _Toc17278454 \h </w:instrText>
            </w:r>
            <w:r w:rsidR="005B7A57">
              <w:rPr>
                <w:noProof/>
                <w:webHidden/>
              </w:rPr>
            </w:r>
            <w:r w:rsidR="005B7A57">
              <w:rPr>
                <w:noProof/>
                <w:webHidden/>
              </w:rPr>
              <w:fldChar w:fldCharType="separate"/>
            </w:r>
            <w:r w:rsidR="00DE5BF4">
              <w:rPr>
                <w:noProof/>
                <w:webHidden/>
              </w:rPr>
              <w:t>16</w:t>
            </w:r>
            <w:r w:rsidR="005B7A57">
              <w:rPr>
                <w:noProof/>
                <w:webHidden/>
              </w:rPr>
              <w:fldChar w:fldCharType="end"/>
            </w:r>
          </w:hyperlink>
        </w:p>
        <w:p w14:paraId="5F5BFFFE" w14:textId="42612B64" w:rsidR="008F4DD8" w:rsidRDefault="008F4DD8">
          <w:r>
            <w:rPr>
              <w:b/>
              <w:bCs/>
            </w:rPr>
            <w:fldChar w:fldCharType="end"/>
          </w:r>
        </w:p>
      </w:sdtContent>
    </w:sdt>
    <w:p w14:paraId="715AA7FB" w14:textId="1FBD9D85" w:rsidR="008F4DD8" w:rsidRDefault="008F4DD8">
      <w:r>
        <w:br w:type="page"/>
      </w:r>
    </w:p>
    <w:p w14:paraId="4850BD26" w14:textId="77777777" w:rsidR="00671888" w:rsidRDefault="00671888" w:rsidP="00671888"/>
    <w:tbl>
      <w:tblPr>
        <w:tblStyle w:val="Tabellenraster"/>
        <w:tblW w:w="0" w:type="auto"/>
        <w:tblLook w:val="04A0" w:firstRow="1" w:lastRow="0" w:firstColumn="1" w:lastColumn="0" w:noHBand="0" w:noVBand="1"/>
      </w:tblPr>
      <w:tblGrid>
        <w:gridCol w:w="5441"/>
        <w:gridCol w:w="1710"/>
        <w:gridCol w:w="1911"/>
      </w:tblGrid>
      <w:tr w:rsidR="005A64DE" w14:paraId="28FA5243" w14:textId="77777777" w:rsidTr="00962683">
        <w:trPr>
          <w:tblHeader/>
        </w:trPr>
        <w:tc>
          <w:tcPr>
            <w:tcW w:w="5670" w:type="dxa"/>
          </w:tcPr>
          <w:p w14:paraId="668B27B1" w14:textId="44EBD6E4" w:rsidR="00AF08CE" w:rsidRPr="00456955" w:rsidRDefault="00AF08CE" w:rsidP="00456955">
            <w:pPr>
              <w:rPr>
                <w:rFonts w:ascii="Calibri Light" w:hAnsi="Calibri Light" w:cs="Calibri Light"/>
                <w:sz w:val="32"/>
                <w:szCs w:val="32"/>
              </w:rPr>
            </w:pPr>
            <w:r w:rsidRPr="00456955">
              <w:rPr>
                <w:rFonts w:ascii="Calibri Light" w:hAnsi="Calibri Light" w:cs="Calibri Light"/>
                <w:color w:val="2E74B5" w:themeColor="accent1" w:themeShade="BF"/>
                <w:sz w:val="32"/>
                <w:szCs w:val="32"/>
              </w:rPr>
              <w:t>Richtlinientext</w:t>
            </w:r>
          </w:p>
        </w:tc>
        <w:tc>
          <w:tcPr>
            <w:tcW w:w="0" w:type="auto"/>
            <w:gridSpan w:val="2"/>
          </w:tcPr>
          <w:p w14:paraId="037E8D2B" w14:textId="54959478" w:rsidR="00AF08CE" w:rsidRPr="00456955" w:rsidRDefault="00AF08CE" w:rsidP="00456955">
            <w:pPr>
              <w:rPr>
                <w:rFonts w:ascii="Calibri Light" w:hAnsi="Calibri Light" w:cs="Calibri Light"/>
                <w:color w:val="2E74B5" w:themeColor="accent1" w:themeShade="BF"/>
                <w:sz w:val="32"/>
                <w:szCs w:val="32"/>
              </w:rPr>
            </w:pPr>
            <w:r w:rsidRPr="00456955">
              <w:rPr>
                <w:rFonts w:ascii="Calibri Light" w:hAnsi="Calibri Light" w:cs="Calibri Light"/>
                <w:color w:val="2E74B5" w:themeColor="accent1" w:themeShade="BF"/>
                <w:sz w:val="32"/>
                <w:szCs w:val="32"/>
              </w:rPr>
              <w:t>Erläuterungen und Hinweise</w:t>
            </w:r>
          </w:p>
        </w:tc>
      </w:tr>
      <w:tr w:rsidR="005A64DE" w14:paraId="6E161A0D" w14:textId="77777777" w:rsidTr="00962683">
        <w:tc>
          <w:tcPr>
            <w:tcW w:w="5670" w:type="dxa"/>
            <w:vMerge w:val="restart"/>
          </w:tcPr>
          <w:p w14:paraId="6582E988" w14:textId="151640EF" w:rsidR="00456955" w:rsidRDefault="00456955"/>
          <w:p w14:paraId="26328B30" w14:textId="427717B7" w:rsidR="00456955" w:rsidRPr="00456955" w:rsidRDefault="00456955" w:rsidP="00456955"/>
        </w:tc>
        <w:tc>
          <w:tcPr>
            <w:tcW w:w="0" w:type="auto"/>
          </w:tcPr>
          <w:p w14:paraId="6E8A60C0" w14:textId="2BF9C40B" w:rsidR="00453B0E" w:rsidRDefault="00453B0E" w:rsidP="00F23771">
            <w:pPr>
              <w:spacing w:after="120"/>
            </w:pPr>
            <w:r>
              <w:t>Referenznummer</w:t>
            </w:r>
          </w:p>
        </w:tc>
        <w:tc>
          <w:tcPr>
            <w:tcW w:w="0" w:type="auto"/>
          </w:tcPr>
          <w:p w14:paraId="7C1288C6" w14:textId="52785CBB" w:rsidR="00453B0E" w:rsidRDefault="00453B0E" w:rsidP="00F23771">
            <w:pPr>
              <w:spacing w:after="120"/>
            </w:pPr>
          </w:p>
        </w:tc>
      </w:tr>
      <w:tr w:rsidR="005A64DE" w14:paraId="4A534EAB" w14:textId="77777777" w:rsidTr="00962683">
        <w:tc>
          <w:tcPr>
            <w:tcW w:w="5670" w:type="dxa"/>
            <w:vMerge/>
          </w:tcPr>
          <w:p w14:paraId="71ABD28C" w14:textId="77777777" w:rsidR="00453B0E" w:rsidRDefault="00453B0E" w:rsidP="00F23771">
            <w:pPr>
              <w:spacing w:after="120"/>
            </w:pPr>
          </w:p>
        </w:tc>
        <w:tc>
          <w:tcPr>
            <w:tcW w:w="0" w:type="auto"/>
          </w:tcPr>
          <w:p w14:paraId="3F023357" w14:textId="3495BFEE" w:rsidR="00453B0E" w:rsidRDefault="00453B0E" w:rsidP="00F23771">
            <w:pPr>
              <w:spacing w:after="120"/>
            </w:pPr>
            <w:r>
              <w:t>Titel</w:t>
            </w:r>
          </w:p>
        </w:tc>
        <w:tc>
          <w:tcPr>
            <w:tcW w:w="0" w:type="auto"/>
          </w:tcPr>
          <w:p w14:paraId="67B949DB" w14:textId="3E12A9B9" w:rsidR="00453B0E" w:rsidRDefault="00453B0E" w:rsidP="00F23771">
            <w:pPr>
              <w:spacing w:after="120"/>
            </w:pPr>
            <w:r>
              <w:t>IT-Sicherheitsrichtlinie</w:t>
            </w:r>
          </w:p>
        </w:tc>
      </w:tr>
      <w:tr w:rsidR="005A64DE" w14:paraId="09E8BE99" w14:textId="77777777" w:rsidTr="00962683">
        <w:tc>
          <w:tcPr>
            <w:tcW w:w="5670" w:type="dxa"/>
            <w:vMerge/>
          </w:tcPr>
          <w:p w14:paraId="4D53E3D3" w14:textId="77777777" w:rsidR="00453B0E" w:rsidRDefault="00453B0E" w:rsidP="00F23771">
            <w:pPr>
              <w:spacing w:after="120"/>
            </w:pPr>
          </w:p>
        </w:tc>
        <w:tc>
          <w:tcPr>
            <w:tcW w:w="0" w:type="auto"/>
          </w:tcPr>
          <w:p w14:paraId="2657E1EE" w14:textId="6FB0F044" w:rsidR="00453B0E" w:rsidRDefault="00453B0E" w:rsidP="00F23771">
            <w:pPr>
              <w:spacing w:after="120"/>
            </w:pPr>
            <w:r>
              <w:t>Letzte Änderung Richtlinientext</w:t>
            </w:r>
          </w:p>
        </w:tc>
        <w:tc>
          <w:tcPr>
            <w:tcW w:w="0" w:type="auto"/>
          </w:tcPr>
          <w:p w14:paraId="14833DDB" w14:textId="5DE49B67" w:rsidR="00453B0E" w:rsidRDefault="00F23771" w:rsidP="004758D6">
            <w:pPr>
              <w:spacing w:after="120"/>
            </w:pPr>
            <w:r>
              <w:t>2</w:t>
            </w:r>
            <w:r w:rsidR="005B7A57">
              <w:t>1.08</w:t>
            </w:r>
            <w:r w:rsidR="00453B0E">
              <w:t>.2019</w:t>
            </w:r>
          </w:p>
        </w:tc>
      </w:tr>
      <w:tr w:rsidR="005A64DE" w14:paraId="3858139A" w14:textId="77777777" w:rsidTr="00962683">
        <w:tc>
          <w:tcPr>
            <w:tcW w:w="5670" w:type="dxa"/>
            <w:vMerge/>
          </w:tcPr>
          <w:p w14:paraId="4EDBED22" w14:textId="77777777" w:rsidR="00453B0E" w:rsidRDefault="00453B0E" w:rsidP="00F23771">
            <w:pPr>
              <w:spacing w:after="120"/>
            </w:pPr>
          </w:p>
        </w:tc>
        <w:tc>
          <w:tcPr>
            <w:tcW w:w="0" w:type="auto"/>
          </w:tcPr>
          <w:p w14:paraId="662515FA" w14:textId="41C5F929" w:rsidR="00453B0E" w:rsidRDefault="00453B0E" w:rsidP="00F23771">
            <w:pPr>
              <w:spacing w:after="120"/>
            </w:pPr>
            <w:r>
              <w:t>Letzte Änderung Erläuterungen und Hinweise</w:t>
            </w:r>
          </w:p>
        </w:tc>
        <w:tc>
          <w:tcPr>
            <w:tcW w:w="0" w:type="auto"/>
          </w:tcPr>
          <w:p w14:paraId="37C915DA" w14:textId="1EE2F835" w:rsidR="00453B0E" w:rsidRDefault="00C53EF5" w:rsidP="005B7A57">
            <w:pPr>
              <w:spacing w:after="120"/>
            </w:pPr>
            <w:r>
              <w:t>26.11</w:t>
            </w:r>
            <w:r w:rsidR="00453B0E">
              <w:t>.2019</w:t>
            </w:r>
          </w:p>
        </w:tc>
      </w:tr>
      <w:tr w:rsidR="005A64DE" w14:paraId="4D78A3EF" w14:textId="77777777" w:rsidTr="00962683">
        <w:tc>
          <w:tcPr>
            <w:tcW w:w="5670" w:type="dxa"/>
            <w:vMerge/>
          </w:tcPr>
          <w:p w14:paraId="60F243F4" w14:textId="77777777" w:rsidR="00453B0E" w:rsidRDefault="00453B0E" w:rsidP="00F23771">
            <w:pPr>
              <w:spacing w:after="120"/>
            </w:pPr>
          </w:p>
        </w:tc>
        <w:tc>
          <w:tcPr>
            <w:tcW w:w="0" w:type="auto"/>
          </w:tcPr>
          <w:p w14:paraId="0A3BE951" w14:textId="4B371421" w:rsidR="00453B0E" w:rsidRDefault="00453B0E" w:rsidP="00F23771">
            <w:pPr>
              <w:spacing w:after="120"/>
            </w:pPr>
            <w:r>
              <w:t>Zielgruppe</w:t>
            </w:r>
          </w:p>
        </w:tc>
        <w:tc>
          <w:tcPr>
            <w:tcW w:w="0" w:type="auto"/>
          </w:tcPr>
          <w:p w14:paraId="4925E2BF" w14:textId="49D3A723" w:rsidR="00453B0E" w:rsidRDefault="00453B0E" w:rsidP="00F23771">
            <w:pPr>
              <w:spacing w:after="120"/>
            </w:pPr>
            <w:r>
              <w:t>Mitglieder, Angehörige und Gäste der Universität Erfurt</w:t>
            </w:r>
          </w:p>
        </w:tc>
      </w:tr>
      <w:tr w:rsidR="005A64DE" w14:paraId="5A2F6FC3" w14:textId="77777777" w:rsidTr="00962683">
        <w:tc>
          <w:tcPr>
            <w:tcW w:w="5670" w:type="dxa"/>
            <w:vMerge/>
          </w:tcPr>
          <w:p w14:paraId="317223D7" w14:textId="77777777" w:rsidR="00453B0E" w:rsidRDefault="00453B0E" w:rsidP="00F23771">
            <w:pPr>
              <w:spacing w:after="120"/>
            </w:pPr>
          </w:p>
        </w:tc>
        <w:tc>
          <w:tcPr>
            <w:tcW w:w="0" w:type="auto"/>
          </w:tcPr>
          <w:p w14:paraId="6C63B9C5" w14:textId="01E3400E" w:rsidR="00453B0E" w:rsidRDefault="00453B0E" w:rsidP="00F23771">
            <w:pPr>
              <w:spacing w:after="120"/>
            </w:pPr>
            <w:r>
              <w:t>Autorinnen und Autoren</w:t>
            </w:r>
          </w:p>
        </w:tc>
        <w:tc>
          <w:tcPr>
            <w:tcW w:w="0" w:type="auto"/>
          </w:tcPr>
          <w:p w14:paraId="0EB8FF59" w14:textId="1A2CF408" w:rsidR="00453B0E" w:rsidRDefault="00453B0E" w:rsidP="00F23771">
            <w:pPr>
              <w:pStyle w:val="Listenabsatz"/>
              <w:numPr>
                <w:ilvl w:val="0"/>
                <w:numId w:val="17"/>
              </w:numPr>
              <w:spacing w:after="120"/>
              <w:ind w:left="357" w:hanging="357"/>
            </w:pPr>
            <w:r>
              <w:t>IT-Sicherheitsbeauftragter (Frank Becker)</w:t>
            </w:r>
          </w:p>
          <w:p w14:paraId="6A28C528" w14:textId="77777777" w:rsidR="00453B0E" w:rsidRDefault="00453B0E" w:rsidP="00F23771">
            <w:pPr>
              <w:pStyle w:val="Listenabsatz"/>
              <w:numPr>
                <w:ilvl w:val="0"/>
                <w:numId w:val="17"/>
              </w:numPr>
              <w:spacing w:after="120"/>
              <w:ind w:left="357" w:hanging="357"/>
            </w:pPr>
            <w:r>
              <w:t>Leitung des URMZ (Frank Trefflich)</w:t>
            </w:r>
          </w:p>
          <w:p w14:paraId="392088D7" w14:textId="77777777" w:rsidR="00453B0E" w:rsidRDefault="00453B0E" w:rsidP="00F23771">
            <w:pPr>
              <w:pStyle w:val="Listenabsatz"/>
              <w:numPr>
                <w:ilvl w:val="0"/>
                <w:numId w:val="17"/>
              </w:numPr>
              <w:spacing w:after="120"/>
              <w:ind w:left="357" w:hanging="357"/>
            </w:pPr>
            <w:r>
              <w:t>Datenschutzbeauftragte (Ute Winter)</w:t>
            </w:r>
          </w:p>
          <w:p w14:paraId="302E7CDE" w14:textId="77777777" w:rsidR="00453B0E" w:rsidRDefault="00453B0E" w:rsidP="00F23771">
            <w:pPr>
              <w:pStyle w:val="Listenabsatz"/>
              <w:numPr>
                <w:ilvl w:val="0"/>
                <w:numId w:val="17"/>
              </w:numPr>
              <w:spacing w:after="120"/>
              <w:ind w:left="357" w:hanging="357"/>
            </w:pPr>
            <w:r>
              <w:t>Kanzler (Dr. Jörg Brauns)</w:t>
            </w:r>
          </w:p>
          <w:p w14:paraId="0279258C" w14:textId="77777777" w:rsidR="00453B0E" w:rsidRDefault="00453B0E" w:rsidP="00F23771">
            <w:pPr>
              <w:pStyle w:val="Listenabsatz"/>
              <w:numPr>
                <w:ilvl w:val="0"/>
                <w:numId w:val="17"/>
              </w:numPr>
              <w:spacing w:after="120"/>
              <w:ind w:left="357" w:hanging="357"/>
            </w:pPr>
            <w:r>
              <w:t>Leitung des Rechtsamts (Christine Kneipel)</w:t>
            </w:r>
          </w:p>
          <w:p w14:paraId="02D5ABE0" w14:textId="7CA2179D" w:rsidR="00453B0E" w:rsidRDefault="00453B0E" w:rsidP="00F23771">
            <w:pPr>
              <w:pStyle w:val="Listenabsatz"/>
              <w:numPr>
                <w:ilvl w:val="0"/>
                <w:numId w:val="17"/>
              </w:numPr>
              <w:spacing w:after="120"/>
              <w:ind w:left="357" w:hanging="357"/>
            </w:pPr>
            <w:r>
              <w:t>Organisationsentwicklung (Dr. Susanne In der Smitten)</w:t>
            </w:r>
          </w:p>
        </w:tc>
      </w:tr>
      <w:tr w:rsidR="005A64DE" w14:paraId="1FE32B6C" w14:textId="77777777" w:rsidTr="00962683">
        <w:tc>
          <w:tcPr>
            <w:tcW w:w="5670" w:type="dxa"/>
            <w:vMerge/>
          </w:tcPr>
          <w:p w14:paraId="0DF4A1B7" w14:textId="77777777" w:rsidR="00453B0E" w:rsidRDefault="00453B0E" w:rsidP="00F23771">
            <w:pPr>
              <w:spacing w:after="120"/>
            </w:pPr>
          </w:p>
        </w:tc>
        <w:tc>
          <w:tcPr>
            <w:tcW w:w="0" w:type="auto"/>
          </w:tcPr>
          <w:p w14:paraId="44B2E74C" w14:textId="7331CF28" w:rsidR="00453B0E" w:rsidRDefault="00453B0E" w:rsidP="00F23771">
            <w:pPr>
              <w:spacing w:after="120"/>
            </w:pPr>
            <w:r>
              <w:t>Verabschiedet durch</w:t>
            </w:r>
          </w:p>
        </w:tc>
        <w:tc>
          <w:tcPr>
            <w:tcW w:w="0" w:type="auto"/>
          </w:tcPr>
          <w:p w14:paraId="7CECB4DB" w14:textId="4F762E01" w:rsidR="00453B0E" w:rsidRDefault="00C53EF5" w:rsidP="00F23771">
            <w:pPr>
              <w:spacing w:after="120"/>
            </w:pPr>
            <w:r>
              <w:t>Präsidium</w:t>
            </w:r>
          </w:p>
        </w:tc>
      </w:tr>
      <w:tr w:rsidR="005A64DE" w14:paraId="6E8CDFF7" w14:textId="77777777" w:rsidTr="00962683">
        <w:tc>
          <w:tcPr>
            <w:tcW w:w="5670" w:type="dxa"/>
            <w:vMerge/>
          </w:tcPr>
          <w:p w14:paraId="10FE3518" w14:textId="77777777" w:rsidR="00453B0E" w:rsidRDefault="00453B0E" w:rsidP="00F23771">
            <w:pPr>
              <w:spacing w:after="120"/>
            </w:pPr>
          </w:p>
        </w:tc>
        <w:tc>
          <w:tcPr>
            <w:tcW w:w="0" w:type="auto"/>
          </w:tcPr>
          <w:p w14:paraId="2CEB3479" w14:textId="53BF1F77" w:rsidR="00453B0E" w:rsidRDefault="00453B0E" w:rsidP="00F23771">
            <w:pPr>
              <w:spacing w:after="120"/>
            </w:pPr>
            <w:r>
              <w:t>Implementiert durch</w:t>
            </w:r>
          </w:p>
        </w:tc>
        <w:tc>
          <w:tcPr>
            <w:tcW w:w="0" w:type="auto"/>
          </w:tcPr>
          <w:p w14:paraId="0347A4E0" w14:textId="017D8B1C" w:rsidR="00453B0E" w:rsidRDefault="00453B0E" w:rsidP="00F23771">
            <w:pPr>
              <w:spacing w:after="120"/>
            </w:pPr>
            <w:r>
              <w:t>IT-Sicherheitsbeauftragter</w:t>
            </w:r>
          </w:p>
        </w:tc>
      </w:tr>
      <w:tr w:rsidR="005A64DE" w14:paraId="4A537D1E" w14:textId="77777777" w:rsidTr="00962683">
        <w:tc>
          <w:tcPr>
            <w:tcW w:w="5670" w:type="dxa"/>
            <w:vMerge/>
          </w:tcPr>
          <w:p w14:paraId="78457399" w14:textId="77777777" w:rsidR="00453B0E" w:rsidRDefault="00453B0E" w:rsidP="00F23771">
            <w:pPr>
              <w:spacing w:after="120"/>
            </w:pPr>
          </w:p>
        </w:tc>
        <w:tc>
          <w:tcPr>
            <w:tcW w:w="0" w:type="auto"/>
          </w:tcPr>
          <w:p w14:paraId="6378B40E" w14:textId="33C9E5E8" w:rsidR="00453B0E" w:rsidRDefault="00453B0E" w:rsidP="00F23771">
            <w:pPr>
              <w:spacing w:after="120"/>
            </w:pPr>
            <w:r>
              <w:t>Monitoring der Einhaltung</w:t>
            </w:r>
          </w:p>
        </w:tc>
        <w:tc>
          <w:tcPr>
            <w:tcW w:w="0" w:type="auto"/>
          </w:tcPr>
          <w:p w14:paraId="1B709D69" w14:textId="3D421CB4" w:rsidR="00453B0E" w:rsidRDefault="00453B0E" w:rsidP="00F23771">
            <w:pPr>
              <w:spacing w:after="120"/>
            </w:pPr>
            <w:r>
              <w:t>Bereichsleitungen</w:t>
            </w:r>
          </w:p>
        </w:tc>
      </w:tr>
      <w:tr w:rsidR="005A64DE" w14:paraId="3315C564" w14:textId="77777777" w:rsidTr="00962683">
        <w:tc>
          <w:tcPr>
            <w:tcW w:w="5670" w:type="dxa"/>
            <w:vMerge/>
          </w:tcPr>
          <w:p w14:paraId="37393F21" w14:textId="77777777" w:rsidR="00453B0E" w:rsidRDefault="00453B0E" w:rsidP="00F23771">
            <w:pPr>
              <w:spacing w:after="120"/>
            </w:pPr>
          </w:p>
        </w:tc>
        <w:tc>
          <w:tcPr>
            <w:tcW w:w="0" w:type="auto"/>
          </w:tcPr>
          <w:p w14:paraId="55C34D19" w14:textId="3D410B10" w:rsidR="00453B0E" w:rsidRDefault="00453B0E" w:rsidP="00F23771">
            <w:pPr>
              <w:spacing w:after="120"/>
            </w:pPr>
            <w:r>
              <w:t>Kommentare</w:t>
            </w:r>
          </w:p>
        </w:tc>
        <w:tc>
          <w:tcPr>
            <w:tcW w:w="0" w:type="auto"/>
          </w:tcPr>
          <w:p w14:paraId="2A37A085" w14:textId="3917812C" w:rsidR="00453B0E" w:rsidRDefault="00453B0E" w:rsidP="00F23771">
            <w:pPr>
              <w:spacing w:after="120"/>
            </w:pPr>
          </w:p>
        </w:tc>
      </w:tr>
      <w:tr w:rsidR="005A64DE" w14:paraId="0FD0E0B1" w14:textId="77777777" w:rsidTr="00962683">
        <w:tc>
          <w:tcPr>
            <w:tcW w:w="5670" w:type="dxa"/>
          </w:tcPr>
          <w:p w14:paraId="61E5B2E4" w14:textId="4D7A2CFC" w:rsidR="00453B0E" w:rsidRDefault="00453B0E" w:rsidP="00F23771">
            <w:pPr>
              <w:pStyle w:val="berschrift2"/>
              <w:numPr>
                <w:ilvl w:val="0"/>
                <w:numId w:val="1"/>
              </w:numPr>
              <w:outlineLvl w:val="1"/>
            </w:pPr>
            <w:bookmarkStart w:id="1" w:name="_Toc12439623"/>
            <w:bookmarkStart w:id="2" w:name="_Toc17278430"/>
            <w:r>
              <w:lastRenderedPageBreak/>
              <w:t>Präambel</w:t>
            </w:r>
            <w:bookmarkEnd w:id="1"/>
            <w:bookmarkEnd w:id="2"/>
          </w:p>
          <w:p w14:paraId="592E91D6" w14:textId="77777777" w:rsidR="00F23771" w:rsidRDefault="00453B0E" w:rsidP="00F23771">
            <w:pPr>
              <w:spacing w:after="120"/>
            </w:pPr>
            <w:r>
              <w:t xml:space="preserve">Der Betrieb einer Universität hängt in hohem und zunehmendem Maße von der Qualität ihrer IT-Dienstleistungen ab, da leistungsfähige Forschung, Lehre und Verwaltung auf eine funktionsfähige und sichere Informationstechnologie (IT) angewiesen sind. Viele Geschäftsprozesse der Universität sind bereits IT-basiert, weitere werden folgen. Im Rahmen eines integrierten Informationsmanagements werden Geschäftsprozesse und IT-Dienstleistungen immer enger miteinander verknüpft. </w:t>
            </w:r>
            <w:r w:rsidRPr="00CE1D15">
              <w:t>Der Einsatz von IT-Systemen führt dabei zu einer Effizienzsteigerung von Arbeitsabläufen bei gleichzeitig deutlich verbessertem Dienstleistungsangebot.</w:t>
            </w:r>
            <w:r>
              <w:t xml:space="preserve"> </w:t>
            </w:r>
          </w:p>
          <w:p w14:paraId="336E261E" w14:textId="007D5B8F" w:rsidR="00AF08CE" w:rsidRDefault="00453B0E" w:rsidP="00F23771">
            <w:pPr>
              <w:spacing w:after="120"/>
            </w:pPr>
            <w:r>
              <w:t xml:space="preserve">Daher ist die „Sicherheit in der Informationstechnik“ (IT-Sicherheit) für die Universität Erfurt eine elementare Voraussetzung für ihre Aufgabenerfüllung, auch im Hinblick auf die Erfüllung gesetzlicher Auflagen, z.B. im Bereich des Datenschutzes. Die vorliegende IT-Sicherheitsrichtlinie gilt daher im Zusammenhang mit der Datenschutzrichtlinie und weiteren Handreichungen zu IT-Sicherheit und Datenschutz an der Universität Erfurt. </w:t>
            </w:r>
          </w:p>
        </w:tc>
        <w:tc>
          <w:tcPr>
            <w:tcW w:w="0" w:type="auto"/>
            <w:gridSpan w:val="2"/>
          </w:tcPr>
          <w:p w14:paraId="23B91E6C" w14:textId="77777777" w:rsidR="00AF08CE" w:rsidRDefault="00AF08CE" w:rsidP="00F23771">
            <w:pPr>
              <w:spacing w:after="120"/>
            </w:pPr>
          </w:p>
        </w:tc>
      </w:tr>
      <w:tr w:rsidR="005A64DE" w14:paraId="3069BC0A" w14:textId="77777777" w:rsidTr="00962683">
        <w:tc>
          <w:tcPr>
            <w:tcW w:w="5670" w:type="dxa"/>
          </w:tcPr>
          <w:p w14:paraId="2A2C1B0C" w14:textId="048AEFB8" w:rsidR="00453B0E" w:rsidRDefault="00453B0E" w:rsidP="00F23771">
            <w:pPr>
              <w:pStyle w:val="berschrift2"/>
              <w:numPr>
                <w:ilvl w:val="0"/>
                <w:numId w:val="1"/>
              </w:numPr>
              <w:outlineLvl w:val="1"/>
            </w:pPr>
            <w:bookmarkStart w:id="3" w:name="_Toc12439624"/>
            <w:bookmarkStart w:id="4" w:name="_Toc17278431"/>
            <w:r>
              <w:t>Ziele und Adressatenkreis</w:t>
            </w:r>
            <w:bookmarkEnd w:id="3"/>
            <w:bookmarkEnd w:id="4"/>
          </w:p>
          <w:p w14:paraId="7916544D" w14:textId="77777777" w:rsidR="00453B0E" w:rsidRDefault="00453B0E" w:rsidP="00F23771">
            <w:pPr>
              <w:spacing w:after="120"/>
            </w:pPr>
            <w:r>
              <w:t>Das Ziel dieser Richtlinie ist ein angemessener Schutz der IT-Infrastrukturen, -Systeme, -Anwendungen, -Verfahren und -Prozesse sowie der dabei verarbeiteten Daten und Informationen an der Universität Erfurt.</w:t>
            </w:r>
          </w:p>
          <w:p w14:paraId="68AD0FF9" w14:textId="77777777" w:rsidR="00453B0E" w:rsidRDefault="00453B0E" w:rsidP="00F23771">
            <w:pPr>
              <w:spacing w:after="120"/>
            </w:pPr>
            <w:r>
              <w:t>Hierzu formuliert die Richtlinie V</w:t>
            </w:r>
            <w:r w:rsidRPr="000656A1">
              <w:t xml:space="preserve">erantwortlichkeiten im Rahmen der IT-Sicherheit, Verpflichtungen zur Gewährleistung derselben sowie die Konsequenzen und das Verfahren bei Sicherheitsverstößen.  </w:t>
            </w:r>
          </w:p>
          <w:p w14:paraId="4E15905D" w14:textId="77777777" w:rsidR="00AF08CE" w:rsidRDefault="00453B0E" w:rsidP="00F23771">
            <w:pPr>
              <w:spacing w:after="120"/>
            </w:pPr>
            <w:r w:rsidRPr="000656A1">
              <w:t xml:space="preserve">Sie gilt für alle </w:t>
            </w:r>
            <w:r>
              <w:t xml:space="preserve">Bereiche und </w:t>
            </w:r>
            <w:r w:rsidRPr="000656A1">
              <w:t>Einrichtu</w:t>
            </w:r>
            <w:r>
              <w:t xml:space="preserve">ngen, Mitglieder und </w:t>
            </w:r>
            <w:r w:rsidRPr="000656A1">
              <w:t xml:space="preserve">Angehörigen </w:t>
            </w:r>
            <w:r>
              <w:t>der Universität Erfurt sowie</w:t>
            </w:r>
            <w:r w:rsidR="005408F3">
              <w:t xml:space="preserve"> für</w:t>
            </w:r>
            <w:r>
              <w:t xml:space="preserve"> alle Personen, die IT-Systeme und IT-Verfahren der Universität Erfurt benutzen oder betreiben.</w:t>
            </w:r>
          </w:p>
          <w:p w14:paraId="6AC2C94E" w14:textId="2C613CCF" w:rsidR="008F2531" w:rsidRDefault="008F2531" w:rsidP="00F23771">
            <w:pPr>
              <w:spacing w:after="120"/>
            </w:pPr>
            <w:r>
              <w:t xml:space="preserve">Eine </w:t>
            </w:r>
            <w:r w:rsidR="002C7A67">
              <w:t xml:space="preserve">Leistungs- und </w:t>
            </w:r>
            <w:r>
              <w:t>Verhaltenskontrolle findet nicht statt.</w:t>
            </w:r>
          </w:p>
        </w:tc>
        <w:tc>
          <w:tcPr>
            <w:tcW w:w="0" w:type="auto"/>
            <w:gridSpan w:val="2"/>
          </w:tcPr>
          <w:p w14:paraId="4DB19338" w14:textId="77777777" w:rsidR="00AF08CE" w:rsidRDefault="00AF08CE" w:rsidP="00F23771">
            <w:pPr>
              <w:spacing w:after="120"/>
            </w:pPr>
          </w:p>
        </w:tc>
      </w:tr>
      <w:tr w:rsidR="004924D6" w14:paraId="2A0B2F81" w14:textId="77777777" w:rsidTr="00962683">
        <w:tc>
          <w:tcPr>
            <w:tcW w:w="5670" w:type="dxa"/>
          </w:tcPr>
          <w:p w14:paraId="2665056F" w14:textId="6A193787" w:rsidR="004924D6" w:rsidRDefault="004924D6" w:rsidP="00F23771">
            <w:pPr>
              <w:pStyle w:val="berschrift2"/>
              <w:numPr>
                <w:ilvl w:val="0"/>
                <w:numId w:val="1"/>
              </w:numPr>
              <w:outlineLvl w:val="1"/>
            </w:pPr>
            <w:bookmarkStart w:id="5" w:name="_Toc12439625"/>
            <w:bookmarkStart w:id="6" w:name="_Toc17278432"/>
            <w:r>
              <w:lastRenderedPageBreak/>
              <w:t>Begriffsbestimmungen und Verantwortlichkeiten</w:t>
            </w:r>
            <w:bookmarkEnd w:id="5"/>
            <w:bookmarkEnd w:id="6"/>
          </w:p>
          <w:p w14:paraId="0C8E327E" w14:textId="58CD5D7C" w:rsidR="004924D6" w:rsidRDefault="004924D6" w:rsidP="00F23771">
            <w:pPr>
              <w:pStyle w:val="berschrift3"/>
              <w:numPr>
                <w:ilvl w:val="1"/>
                <w:numId w:val="1"/>
              </w:numPr>
              <w:spacing w:after="120"/>
              <w:outlineLvl w:val="2"/>
            </w:pPr>
            <w:bookmarkStart w:id="7" w:name="_Toc12439626"/>
            <w:bookmarkStart w:id="8" w:name="_Toc17278433"/>
            <w:r>
              <w:t>Begriffsbestimmungen</w:t>
            </w:r>
            <w:bookmarkEnd w:id="7"/>
            <w:bookmarkEnd w:id="8"/>
          </w:p>
          <w:p w14:paraId="4633C3F8" w14:textId="77777777" w:rsidR="004924D6" w:rsidRDefault="004924D6" w:rsidP="00F23771">
            <w:pPr>
              <w:pStyle w:val="berschrift4"/>
              <w:spacing w:after="120"/>
              <w:outlineLvl w:val="3"/>
            </w:pPr>
            <w:r>
              <w:t xml:space="preserve">3.1.1 IT  </w:t>
            </w:r>
          </w:p>
          <w:p w14:paraId="5060A29C" w14:textId="6A954629" w:rsidR="004924D6" w:rsidRDefault="004924D6" w:rsidP="00F23771">
            <w:pPr>
              <w:spacing w:after="120"/>
            </w:pPr>
            <w:r>
              <w:t>IT ist die Abkürzung von Informationstechnologie und umfasst den gesamten Bereich der technischen Informations- und Datenverarbeitung und somit IT-Infrastruktur, IT-Systeme, IT-Verfahren und IT-Prozesse.</w:t>
            </w:r>
          </w:p>
        </w:tc>
        <w:tc>
          <w:tcPr>
            <w:tcW w:w="0" w:type="auto"/>
            <w:gridSpan w:val="2"/>
          </w:tcPr>
          <w:p w14:paraId="264B1902" w14:textId="77777777" w:rsidR="004924D6" w:rsidRDefault="004924D6" w:rsidP="00F23771">
            <w:pPr>
              <w:pStyle w:val="berschrift4"/>
              <w:spacing w:after="120"/>
              <w:outlineLvl w:val="3"/>
            </w:pPr>
          </w:p>
        </w:tc>
      </w:tr>
      <w:tr w:rsidR="004924D6" w14:paraId="486C0625" w14:textId="77777777" w:rsidTr="00962683">
        <w:tc>
          <w:tcPr>
            <w:tcW w:w="5670" w:type="dxa"/>
          </w:tcPr>
          <w:p w14:paraId="3DDD2C45" w14:textId="77777777" w:rsidR="004924D6" w:rsidRDefault="004924D6" w:rsidP="00F23771">
            <w:pPr>
              <w:pStyle w:val="berschrift4"/>
              <w:spacing w:after="120"/>
              <w:outlineLvl w:val="3"/>
            </w:pPr>
            <w:r>
              <w:t>3.1.2 IT-Infrastruktur</w:t>
            </w:r>
          </w:p>
          <w:p w14:paraId="0CE50BCA" w14:textId="4DBD2D16" w:rsidR="004924D6" w:rsidRDefault="004924D6" w:rsidP="00F23771">
            <w:pPr>
              <w:spacing w:after="120"/>
            </w:pPr>
            <w:r w:rsidRPr="008233EE">
              <w:t>IT-Infrastruktur ist die Gesamtheit aller Gebäude, Kommunikationsdienste (Netzwerk), Maschinen (Hardware) und Programme (Software), die einer übergeordneten Ebene durch eine untergeordnete Ebene (lat. infra „Unter“) zur automatisierten Informationsverarbeitung zur Verfügung gestellt werden.</w:t>
            </w:r>
          </w:p>
        </w:tc>
        <w:tc>
          <w:tcPr>
            <w:tcW w:w="0" w:type="auto"/>
            <w:gridSpan w:val="2"/>
          </w:tcPr>
          <w:p w14:paraId="4A01F6F6" w14:textId="77777777" w:rsidR="004924D6" w:rsidRDefault="004924D6" w:rsidP="00F23771">
            <w:pPr>
              <w:pStyle w:val="berschrift4"/>
              <w:spacing w:after="120"/>
              <w:outlineLvl w:val="3"/>
            </w:pPr>
          </w:p>
        </w:tc>
      </w:tr>
      <w:tr w:rsidR="004924D6" w14:paraId="21081B90" w14:textId="77777777" w:rsidTr="00962683">
        <w:tc>
          <w:tcPr>
            <w:tcW w:w="5670" w:type="dxa"/>
          </w:tcPr>
          <w:p w14:paraId="79EEA675" w14:textId="77777777" w:rsidR="004924D6" w:rsidRDefault="004924D6" w:rsidP="00F23771">
            <w:pPr>
              <w:pStyle w:val="berschrift4"/>
              <w:spacing w:after="120"/>
              <w:outlineLvl w:val="3"/>
            </w:pPr>
            <w:r>
              <w:t>3.1.3 IT-System/ IT-Verfahren / IT-Prozesse</w:t>
            </w:r>
          </w:p>
          <w:p w14:paraId="5374E1CB" w14:textId="77777777" w:rsidR="004924D6" w:rsidRDefault="004924D6" w:rsidP="00F23771">
            <w:pPr>
              <w:spacing w:after="120"/>
            </w:pPr>
            <w:r>
              <w:t>IT-Systeme sind elektronisch datenverarbeitende Systeme und bezeichnen im Wesentlichen genutzte Hardware, wie z.B. Arbeitsstationen, Notebooks, Smartphones, Server oder Netzwerkkomponenten.</w:t>
            </w:r>
          </w:p>
          <w:p w14:paraId="46071C5C" w14:textId="77777777" w:rsidR="004924D6" w:rsidRDefault="004924D6" w:rsidP="00F23771">
            <w:pPr>
              <w:spacing w:after="120"/>
            </w:pPr>
            <w:r>
              <w:t>IT-Verfahren stehen für das Zusammenwirken von IT-Systemen und Anwendungen.</w:t>
            </w:r>
          </w:p>
          <w:p w14:paraId="652CE2E2" w14:textId="6BB337BE" w:rsidR="004924D6" w:rsidRDefault="004924D6" w:rsidP="00F23771">
            <w:pPr>
              <w:spacing w:after="120"/>
            </w:pPr>
            <w:r>
              <w:t xml:space="preserve">IT-Prozesse sind umfänglichere zusammenhängende Arbeitsabläufe, die IT-Verfahren integrieren und somit Informationen digital über einen längeren Zeitraum verarbeiten. </w:t>
            </w:r>
          </w:p>
        </w:tc>
        <w:tc>
          <w:tcPr>
            <w:tcW w:w="0" w:type="auto"/>
            <w:gridSpan w:val="2"/>
          </w:tcPr>
          <w:p w14:paraId="0608F769" w14:textId="77777777" w:rsidR="004924D6" w:rsidRDefault="004924D6" w:rsidP="00F23771">
            <w:pPr>
              <w:pStyle w:val="berschrift4"/>
              <w:spacing w:after="120"/>
              <w:outlineLvl w:val="3"/>
            </w:pPr>
          </w:p>
        </w:tc>
      </w:tr>
      <w:tr w:rsidR="004924D6" w14:paraId="0DC288C5" w14:textId="77777777" w:rsidTr="00962683">
        <w:tc>
          <w:tcPr>
            <w:tcW w:w="5670" w:type="dxa"/>
          </w:tcPr>
          <w:p w14:paraId="7E7C73AF" w14:textId="77777777" w:rsidR="004924D6" w:rsidRDefault="004924D6" w:rsidP="00F23771">
            <w:pPr>
              <w:pStyle w:val="berschrift4"/>
              <w:spacing w:after="120"/>
              <w:outlineLvl w:val="3"/>
            </w:pPr>
            <w:r>
              <w:t>3.1.4 Schützenswerte Daten</w:t>
            </w:r>
          </w:p>
          <w:p w14:paraId="18932AB0" w14:textId="076EEB80" w:rsidR="004924D6" w:rsidRDefault="004924D6" w:rsidP="00F23771">
            <w:pPr>
              <w:spacing w:after="120"/>
            </w:pPr>
            <w:r>
              <w:t>Schützenswerte Daten sind insbesondere alle personenbezogenen Daten. Zu unterschiedlichen Graden der Schutzbedürftigkeit berät die/der Datenschutzbeauftragte.</w:t>
            </w:r>
          </w:p>
        </w:tc>
        <w:tc>
          <w:tcPr>
            <w:tcW w:w="0" w:type="auto"/>
            <w:gridSpan w:val="2"/>
          </w:tcPr>
          <w:p w14:paraId="60D95C9B" w14:textId="7EAEE2F1" w:rsidR="004924D6" w:rsidRDefault="004924D6" w:rsidP="00C53EF5">
            <w:pPr>
              <w:spacing w:after="120"/>
            </w:pPr>
            <w:r>
              <w:t>Informationen zur/zum aktuellen Datenschutzbeauftragten der Universität Erfurt finden Sie im Internet unter</w:t>
            </w:r>
            <w:r w:rsidR="00C53EF5">
              <w:t xml:space="preserve"> </w:t>
            </w:r>
            <w:hyperlink r:id="rId8" w:history="1">
              <w:r w:rsidR="00C53EF5" w:rsidRPr="00C53EF5">
                <w:rPr>
                  <w:color w:val="2E74B5" w:themeColor="accent1" w:themeShade="BF"/>
                  <w:u w:val="single"/>
                </w:rPr>
                <w:t>https://www.uni-erfurt.de/datenschutz/datenschutzbeauftragte/</w:t>
              </w:r>
            </w:hyperlink>
            <w:r w:rsidRPr="00C53EF5">
              <w:rPr>
                <w:color w:val="2E74B5" w:themeColor="accent1" w:themeShade="BF"/>
              </w:rPr>
              <w:t xml:space="preserve"> </w:t>
            </w:r>
          </w:p>
        </w:tc>
      </w:tr>
      <w:tr w:rsidR="004924D6" w14:paraId="4365F308" w14:textId="77777777" w:rsidTr="00962683">
        <w:tc>
          <w:tcPr>
            <w:tcW w:w="5670" w:type="dxa"/>
          </w:tcPr>
          <w:p w14:paraId="0748D997" w14:textId="63C50DDF" w:rsidR="004924D6" w:rsidRPr="00453B0E" w:rsidRDefault="004924D6" w:rsidP="00F23771">
            <w:pPr>
              <w:keepNext/>
              <w:keepLines/>
              <w:numPr>
                <w:ilvl w:val="1"/>
                <w:numId w:val="1"/>
              </w:numPr>
              <w:spacing w:before="40" w:after="120"/>
              <w:outlineLvl w:val="2"/>
              <w:rPr>
                <w:rFonts w:asciiTheme="majorHAnsi" w:eastAsiaTheme="majorEastAsia" w:hAnsiTheme="majorHAnsi" w:cstheme="majorBidi"/>
                <w:color w:val="1F4D78" w:themeColor="accent1" w:themeShade="7F"/>
                <w:sz w:val="24"/>
                <w:szCs w:val="24"/>
              </w:rPr>
            </w:pPr>
            <w:bookmarkStart w:id="9" w:name="_Toc12439627"/>
            <w:bookmarkStart w:id="10" w:name="_Toc17278434"/>
            <w:r w:rsidRPr="00453B0E">
              <w:rPr>
                <w:rFonts w:asciiTheme="majorHAnsi" w:eastAsiaTheme="majorEastAsia" w:hAnsiTheme="majorHAnsi" w:cstheme="majorBidi"/>
                <w:color w:val="1F4D78" w:themeColor="accent1" w:themeShade="7F"/>
                <w:sz w:val="24"/>
                <w:szCs w:val="24"/>
              </w:rPr>
              <w:t>Verantwortlichkeiten</w:t>
            </w:r>
            <w:bookmarkEnd w:id="9"/>
            <w:bookmarkEnd w:id="10"/>
          </w:p>
          <w:p w14:paraId="1B59A8AF" w14:textId="2F097B24" w:rsidR="004924D6" w:rsidRPr="00453B0E" w:rsidRDefault="004924D6" w:rsidP="00F23771">
            <w:pPr>
              <w:spacing w:after="120"/>
            </w:pPr>
            <w:r w:rsidRPr="00453B0E">
              <w:t>Die Gesamtverantwortung für die IT-Sicherheit liegt beim Präsidium der Universität Erfurt.</w:t>
            </w:r>
          </w:p>
        </w:tc>
        <w:tc>
          <w:tcPr>
            <w:tcW w:w="0" w:type="auto"/>
            <w:gridSpan w:val="2"/>
          </w:tcPr>
          <w:p w14:paraId="59A8FFB0" w14:textId="77777777" w:rsidR="004924D6" w:rsidRPr="00453B0E" w:rsidRDefault="004924D6" w:rsidP="00F23771">
            <w:pPr>
              <w:keepNext/>
              <w:keepLines/>
              <w:spacing w:before="40" w:after="120"/>
              <w:outlineLvl w:val="3"/>
              <w:rPr>
                <w:rFonts w:asciiTheme="majorHAnsi" w:eastAsiaTheme="majorEastAsia" w:hAnsiTheme="majorHAnsi" w:cstheme="majorBidi"/>
                <w:i/>
                <w:iCs/>
                <w:color w:val="2E74B5" w:themeColor="accent1" w:themeShade="BF"/>
              </w:rPr>
            </w:pPr>
          </w:p>
        </w:tc>
      </w:tr>
      <w:tr w:rsidR="004924D6" w14:paraId="5AA2FB8F" w14:textId="77777777" w:rsidTr="00962683">
        <w:tc>
          <w:tcPr>
            <w:tcW w:w="5670" w:type="dxa"/>
          </w:tcPr>
          <w:p w14:paraId="3491491D" w14:textId="77777777" w:rsidR="00715AC6" w:rsidRPr="00453B0E" w:rsidRDefault="00715AC6" w:rsidP="00F23771">
            <w:pPr>
              <w:keepNext/>
              <w:keepLines/>
              <w:spacing w:before="40" w:after="120"/>
              <w:outlineLvl w:val="3"/>
              <w:rPr>
                <w:rFonts w:asciiTheme="majorHAnsi" w:eastAsiaTheme="majorEastAsia" w:hAnsiTheme="majorHAnsi" w:cstheme="majorBidi"/>
                <w:i/>
                <w:iCs/>
                <w:color w:val="2E74B5" w:themeColor="accent1" w:themeShade="BF"/>
              </w:rPr>
            </w:pPr>
            <w:r w:rsidRPr="00453B0E">
              <w:rPr>
                <w:rFonts w:asciiTheme="majorHAnsi" w:eastAsiaTheme="majorEastAsia" w:hAnsiTheme="majorHAnsi" w:cstheme="majorBidi"/>
                <w:i/>
                <w:iCs/>
                <w:color w:val="2E74B5" w:themeColor="accent1" w:themeShade="BF"/>
              </w:rPr>
              <w:t>3.2.1 Chief Information Officer (CIO)</w:t>
            </w:r>
          </w:p>
          <w:p w14:paraId="010B86A6" w14:textId="3E3EC74B" w:rsidR="004924D6" w:rsidRPr="00453B0E" w:rsidRDefault="00715AC6" w:rsidP="00F23771">
            <w:pPr>
              <w:spacing w:after="120"/>
            </w:pPr>
            <w:r w:rsidRPr="00453B0E">
              <w:t xml:space="preserve">Der Chief Information Officer (CIO) nimmt die Aufgaben der strategischen und operativen Führung der Informationstechnologie wahr. Die Bestellung des </w:t>
            </w:r>
            <w:r>
              <w:t>CIO erfolgt durch das Präsidium.</w:t>
            </w:r>
          </w:p>
        </w:tc>
        <w:tc>
          <w:tcPr>
            <w:tcW w:w="0" w:type="auto"/>
            <w:gridSpan w:val="2"/>
          </w:tcPr>
          <w:p w14:paraId="3239489A" w14:textId="2D967384" w:rsidR="004924D6" w:rsidRPr="00F23771" w:rsidRDefault="00F23771" w:rsidP="00F23771">
            <w:pPr>
              <w:spacing w:after="120"/>
            </w:pPr>
            <w:r>
              <w:t>Gegenwärtig ist der CIO der Kanzler der Universität.</w:t>
            </w:r>
          </w:p>
        </w:tc>
      </w:tr>
      <w:tr w:rsidR="004924D6" w14:paraId="768973E7" w14:textId="77777777" w:rsidTr="00962683">
        <w:tc>
          <w:tcPr>
            <w:tcW w:w="5670" w:type="dxa"/>
          </w:tcPr>
          <w:p w14:paraId="6F051091" w14:textId="77777777" w:rsidR="00715AC6" w:rsidRPr="00453B0E" w:rsidRDefault="00715AC6" w:rsidP="00F23771">
            <w:pPr>
              <w:keepNext/>
              <w:keepLines/>
              <w:spacing w:before="40" w:after="120"/>
              <w:outlineLvl w:val="3"/>
              <w:rPr>
                <w:rFonts w:asciiTheme="majorHAnsi" w:eastAsiaTheme="majorEastAsia" w:hAnsiTheme="majorHAnsi" w:cstheme="majorBidi"/>
                <w:i/>
                <w:iCs/>
                <w:color w:val="2E74B5" w:themeColor="accent1" w:themeShade="BF"/>
              </w:rPr>
            </w:pPr>
            <w:r w:rsidRPr="00453B0E">
              <w:rPr>
                <w:rFonts w:asciiTheme="majorHAnsi" w:eastAsiaTheme="majorEastAsia" w:hAnsiTheme="majorHAnsi" w:cstheme="majorBidi"/>
                <w:i/>
                <w:iCs/>
                <w:color w:val="2E74B5" w:themeColor="accent1" w:themeShade="BF"/>
              </w:rPr>
              <w:lastRenderedPageBreak/>
              <w:t>3.2.2 IT-Sicherheitsbeauftragte/r</w:t>
            </w:r>
          </w:p>
          <w:p w14:paraId="6B77AE2F" w14:textId="68046F74" w:rsidR="004924D6" w:rsidRPr="00453B0E" w:rsidRDefault="00715AC6" w:rsidP="00F23771">
            <w:pPr>
              <w:spacing w:after="120"/>
            </w:pPr>
            <w:r w:rsidRPr="00453B0E">
              <w:t>IT-Sicherheitsbeauftragte/r ist die Person, die von der Universitätsleitung dazu bestimmt wurde, die Hochschulleitung und den CIO bei der Wahrnehmung ihrer Aufgaben bezüglich der IT-Sicherheit zu beraten und bei deren Umsetzung zu unterstützen. Der/Die IT-Sicherheitsbeauftragte nimmt damit die Verantwortung für die IT-Sicherheit fachlich wahr.</w:t>
            </w:r>
          </w:p>
        </w:tc>
        <w:tc>
          <w:tcPr>
            <w:tcW w:w="0" w:type="auto"/>
            <w:gridSpan w:val="2"/>
          </w:tcPr>
          <w:p w14:paraId="42751A74" w14:textId="77777777" w:rsidR="00F23771" w:rsidRPr="00453B0E" w:rsidRDefault="00F23771" w:rsidP="00F23771">
            <w:pPr>
              <w:spacing w:after="120"/>
            </w:pPr>
            <w:r>
              <w:t xml:space="preserve">Informationen zur/zum aktuellen IT-Sicherheitsbeauftragten der Universität Erfurt finden Sie im Internet unter </w:t>
            </w:r>
            <w:hyperlink r:id="rId9" w:history="1">
              <w:r w:rsidRPr="00497C35">
                <w:rPr>
                  <w:color w:val="0563C1" w:themeColor="hyperlink"/>
                  <w:u w:val="single"/>
                </w:rPr>
                <w:t>https://www.uni-erfurt.de/urmz/it-sicherheit/</w:t>
              </w:r>
            </w:hyperlink>
            <w:r w:rsidRPr="00453B0E">
              <w:t xml:space="preserve">  </w:t>
            </w:r>
          </w:p>
          <w:p w14:paraId="69622DF1" w14:textId="77777777" w:rsidR="004924D6" w:rsidRPr="00F23771" w:rsidRDefault="004924D6" w:rsidP="002E28FC">
            <w:pPr>
              <w:spacing w:after="120"/>
              <w:rPr>
                <w:iCs/>
                <w:color w:val="2E74B5" w:themeColor="accent1" w:themeShade="BF"/>
              </w:rPr>
            </w:pPr>
          </w:p>
        </w:tc>
      </w:tr>
      <w:tr w:rsidR="00F23771" w14:paraId="447E7368" w14:textId="77777777" w:rsidTr="00962683">
        <w:tc>
          <w:tcPr>
            <w:tcW w:w="5670" w:type="dxa"/>
          </w:tcPr>
          <w:p w14:paraId="62720D2E" w14:textId="77777777" w:rsidR="00F23771" w:rsidRPr="00453B0E" w:rsidRDefault="00F23771" w:rsidP="00F23771">
            <w:pPr>
              <w:keepNext/>
              <w:keepLines/>
              <w:spacing w:before="40" w:after="120"/>
              <w:outlineLvl w:val="3"/>
              <w:rPr>
                <w:rFonts w:asciiTheme="majorHAnsi" w:eastAsiaTheme="majorEastAsia" w:hAnsiTheme="majorHAnsi" w:cstheme="majorBidi"/>
                <w:i/>
                <w:iCs/>
                <w:color w:val="2E74B5" w:themeColor="accent1" w:themeShade="BF"/>
              </w:rPr>
            </w:pPr>
            <w:r w:rsidRPr="00453B0E">
              <w:rPr>
                <w:rFonts w:asciiTheme="majorHAnsi" w:eastAsiaTheme="majorEastAsia" w:hAnsiTheme="majorHAnsi" w:cstheme="majorBidi"/>
                <w:i/>
                <w:iCs/>
                <w:color w:val="2E74B5" w:themeColor="accent1" w:themeShade="BF"/>
              </w:rPr>
              <w:t>3.2.3 IT-Personal</w:t>
            </w:r>
          </w:p>
          <w:p w14:paraId="4C709093" w14:textId="5EBA74B8" w:rsidR="00F23771" w:rsidRPr="00453B0E" w:rsidRDefault="00F23771" w:rsidP="00F23771">
            <w:pPr>
              <w:spacing w:after="120"/>
            </w:pPr>
            <w:r w:rsidRPr="00453B0E">
              <w:t xml:space="preserve">Das IT-Personal umfasst zentrale oder dezentrale Administratorinnen und Administratoren, die für die </w:t>
            </w:r>
            <w:r w:rsidR="005408F3">
              <w:t xml:space="preserve">technische Bereitstellung </w:t>
            </w:r>
            <w:r w:rsidR="002C7A67">
              <w:t xml:space="preserve">und Betreuung </w:t>
            </w:r>
            <w:r w:rsidRPr="00453B0E">
              <w:t xml:space="preserve">von Hard- und Software </w:t>
            </w:r>
            <w:r w:rsidR="005408F3">
              <w:t xml:space="preserve">(insbesondere </w:t>
            </w:r>
            <w:r w:rsidR="005408F3" w:rsidRPr="00453B0E">
              <w:t xml:space="preserve">Wartung, Installation, </w:t>
            </w:r>
            <w:r w:rsidR="005408F3">
              <w:t xml:space="preserve">Konfiguration) </w:t>
            </w:r>
            <w:r w:rsidRPr="00453B0E">
              <w:t>zuständig sind und die IT-Nutzerinnen und -Nutzer beraten und unterstützen.</w:t>
            </w:r>
          </w:p>
          <w:p w14:paraId="156742B4" w14:textId="77777777" w:rsidR="00F23771" w:rsidRPr="00453B0E" w:rsidRDefault="00F23771" w:rsidP="00F23771">
            <w:pPr>
              <w:spacing w:after="120"/>
            </w:pPr>
            <w:r w:rsidRPr="00453B0E">
              <w:t xml:space="preserve">An der Universität Erfurt ist das IT-Personal im Wesentlichen am Universitätsrechen- und Medienzentrum (URMZ) verortet. Das URMZ ist insbesondere verantwortlich für </w:t>
            </w:r>
          </w:p>
          <w:p w14:paraId="3576AB10" w14:textId="77777777" w:rsidR="00F23771" w:rsidRPr="00453B0E" w:rsidRDefault="00F23771" w:rsidP="00F23771">
            <w:pPr>
              <w:numPr>
                <w:ilvl w:val="0"/>
                <w:numId w:val="5"/>
              </w:numPr>
              <w:spacing w:after="120"/>
              <w:ind w:left="357" w:hanging="357"/>
              <w:contextualSpacing/>
            </w:pPr>
            <w:r w:rsidRPr="00453B0E">
              <w:t>die Beschaffung und Bereitstellung von Hard- und Software für alle Bereiche und Einrichtungen, Mitglieder und Angehörigen der Universität Erfurt</w:t>
            </w:r>
          </w:p>
          <w:p w14:paraId="248D5D14" w14:textId="77777777" w:rsidR="00F23771" w:rsidRPr="00453B0E" w:rsidRDefault="00F23771" w:rsidP="00F23771">
            <w:pPr>
              <w:numPr>
                <w:ilvl w:val="0"/>
                <w:numId w:val="5"/>
              </w:numPr>
              <w:spacing w:after="120"/>
              <w:ind w:left="357" w:hanging="357"/>
              <w:contextualSpacing/>
            </w:pPr>
            <w:r w:rsidRPr="00453B0E">
              <w:t>die Erfassung und Registrierung der Geräte</w:t>
            </w:r>
          </w:p>
          <w:p w14:paraId="5E38A10E" w14:textId="75B5D924" w:rsidR="00F23771" w:rsidRPr="00453B0E" w:rsidRDefault="00F23771" w:rsidP="00F23771">
            <w:pPr>
              <w:numPr>
                <w:ilvl w:val="0"/>
                <w:numId w:val="5"/>
              </w:numPr>
              <w:spacing w:after="120"/>
              <w:ind w:left="357" w:hanging="357"/>
              <w:contextualSpacing/>
            </w:pPr>
            <w:r w:rsidRPr="00453B0E">
              <w:t xml:space="preserve">Registrierung mobiler dienstlicher Endgeräte und Unterweisung der IT-Nutzerinnen und -Nutzer (vgl. Ziff. </w:t>
            </w:r>
            <w:r w:rsidRPr="00453B0E">
              <w:fldChar w:fldCharType="begin"/>
            </w:r>
            <w:r w:rsidRPr="00453B0E">
              <w:instrText xml:space="preserve"> REF _Ref12009808 \r \h </w:instrText>
            </w:r>
            <w:r w:rsidRPr="00453B0E">
              <w:fldChar w:fldCharType="separate"/>
            </w:r>
            <w:r w:rsidR="00DE5BF4">
              <w:t>4.1</w:t>
            </w:r>
            <w:r w:rsidRPr="00453B0E">
              <w:fldChar w:fldCharType="end"/>
            </w:r>
            <w:r w:rsidRPr="00453B0E">
              <w:t>)</w:t>
            </w:r>
          </w:p>
          <w:p w14:paraId="3D87794B" w14:textId="77777777" w:rsidR="00F23771" w:rsidRPr="00453B0E" w:rsidRDefault="00F23771" w:rsidP="00F23771">
            <w:pPr>
              <w:numPr>
                <w:ilvl w:val="0"/>
                <w:numId w:val="5"/>
              </w:numPr>
              <w:spacing w:after="120"/>
              <w:ind w:left="357" w:hanging="357"/>
              <w:contextualSpacing/>
            </w:pPr>
            <w:r w:rsidRPr="00453B0E">
              <w:t>die Einrichtung und Aufhebung von Netzzugängen und Benutzerkonten sowie ggf. die vorübergehende Sperrung des Zugangs zur Gefahrenintervention</w:t>
            </w:r>
          </w:p>
          <w:p w14:paraId="1144F89B" w14:textId="77777777" w:rsidR="00F23771" w:rsidRPr="00453B0E" w:rsidRDefault="00F23771" w:rsidP="00F23771">
            <w:pPr>
              <w:numPr>
                <w:ilvl w:val="0"/>
                <w:numId w:val="5"/>
              </w:numPr>
              <w:spacing w:after="120"/>
              <w:ind w:left="357" w:hanging="357"/>
              <w:contextualSpacing/>
            </w:pPr>
            <w:r w:rsidRPr="00453B0E">
              <w:t>die Beratung und Unterstützung der IT-Nutzerinnen und -Nutzer</w:t>
            </w:r>
          </w:p>
          <w:p w14:paraId="1E021B4B" w14:textId="40EBA074" w:rsidR="00F23771" w:rsidRPr="00453B0E" w:rsidRDefault="00F23771" w:rsidP="00F23771">
            <w:pPr>
              <w:numPr>
                <w:ilvl w:val="0"/>
                <w:numId w:val="5"/>
              </w:numPr>
              <w:spacing w:after="120"/>
              <w:ind w:left="357" w:hanging="357"/>
              <w:contextualSpacing/>
            </w:pPr>
            <w:r w:rsidRPr="00453B0E">
              <w:t>die Organisation reg</w:t>
            </w:r>
            <w:r w:rsidR="005B7A57">
              <w:t>elmäßiger Schulungen für die IT-</w:t>
            </w:r>
            <w:r w:rsidR="002C7A67">
              <w:t xml:space="preserve">nutzenden Beschäftigten der Universität </w:t>
            </w:r>
            <w:r w:rsidRPr="00453B0E">
              <w:t xml:space="preserve"> (vgl. Ziff. </w:t>
            </w:r>
            <w:r w:rsidRPr="00453B0E">
              <w:fldChar w:fldCharType="begin"/>
            </w:r>
            <w:r w:rsidRPr="00453B0E">
              <w:instrText xml:space="preserve"> REF _Ref12009831 \r \h </w:instrText>
            </w:r>
            <w:r w:rsidRPr="00453B0E">
              <w:fldChar w:fldCharType="separate"/>
            </w:r>
            <w:r w:rsidR="00DE5BF4">
              <w:t>4.3</w:t>
            </w:r>
            <w:r w:rsidRPr="00453B0E">
              <w:fldChar w:fldCharType="end"/>
            </w:r>
            <w:r w:rsidRPr="00453B0E">
              <w:t>)</w:t>
            </w:r>
          </w:p>
          <w:p w14:paraId="51DDBC93" w14:textId="400D9DFC" w:rsidR="00F23771" w:rsidRPr="00453B0E" w:rsidRDefault="00F23771" w:rsidP="00F23771">
            <w:pPr>
              <w:numPr>
                <w:ilvl w:val="0"/>
                <w:numId w:val="5"/>
              </w:numPr>
              <w:spacing w:after="120"/>
              <w:ind w:left="357" w:hanging="357"/>
              <w:contextualSpacing/>
            </w:pPr>
            <w:r w:rsidRPr="00453B0E">
              <w:t xml:space="preserve">die Sicherung der Geräte vor unbefugten Zugriffen (vgl. Ziff. </w:t>
            </w:r>
            <w:r w:rsidRPr="00453B0E">
              <w:fldChar w:fldCharType="begin"/>
            </w:r>
            <w:r w:rsidRPr="00453B0E">
              <w:instrText xml:space="preserve"> REF _Ref12009762 \r \h </w:instrText>
            </w:r>
            <w:r w:rsidRPr="00453B0E">
              <w:fldChar w:fldCharType="separate"/>
            </w:r>
            <w:r w:rsidR="00DE5BF4">
              <w:t>4.2</w:t>
            </w:r>
            <w:r w:rsidRPr="00453B0E">
              <w:fldChar w:fldCharType="end"/>
            </w:r>
            <w:r w:rsidRPr="00453B0E">
              <w:t xml:space="preserve">) durch entsprechende bauliche Vorkehrungen in Absprache mit dem zuständigen Dezernat für Gebäudemanagement, durch Unterstützung von Maßnahmen zum Diebstahlschutz (z.B. Aushändigen von geeigneten Schlössern zur Sicherung mobiler Endgeräte an IT-Nutzerinnen und -Nutzer) und durch eine entsprechende Sensibilisierung aller </w:t>
            </w:r>
            <w:r w:rsidR="008F2531">
              <w:t>Nutzer</w:t>
            </w:r>
            <w:r w:rsidRPr="00453B0E">
              <w:t>gruppen über Hinweisblätter und Schulungen</w:t>
            </w:r>
          </w:p>
          <w:p w14:paraId="051E3539" w14:textId="49B0C130" w:rsidR="00F23771" w:rsidRPr="00453B0E" w:rsidRDefault="00F23771" w:rsidP="00F23771">
            <w:pPr>
              <w:numPr>
                <w:ilvl w:val="0"/>
                <w:numId w:val="5"/>
              </w:numPr>
              <w:spacing w:after="120"/>
              <w:ind w:left="357" w:hanging="357"/>
              <w:contextualSpacing/>
            </w:pPr>
            <w:r w:rsidRPr="00453B0E">
              <w:t>die Ausstattung der Rechnersysteme mit Zugriffschutz (vgl. Ziff. 4.4)</w:t>
            </w:r>
          </w:p>
          <w:p w14:paraId="1222C693" w14:textId="7AF2CF4C" w:rsidR="00F23771" w:rsidRPr="00453B0E" w:rsidRDefault="00F23771" w:rsidP="00F23771">
            <w:pPr>
              <w:numPr>
                <w:ilvl w:val="0"/>
                <w:numId w:val="5"/>
              </w:numPr>
              <w:spacing w:after="120"/>
              <w:ind w:left="357" w:hanging="357"/>
              <w:contextualSpacing/>
            </w:pPr>
            <w:r w:rsidRPr="00453B0E">
              <w:t xml:space="preserve">die Einrichtung von Virenschutzprogrammen auf Arbeitsplatzrechnern und mobilen Geräten (vgl. Ziff. </w:t>
            </w:r>
            <w:r w:rsidRPr="00453B0E">
              <w:fldChar w:fldCharType="begin"/>
            </w:r>
            <w:r w:rsidRPr="00453B0E">
              <w:instrText xml:space="preserve"> REF _Ref12009783 \r \h </w:instrText>
            </w:r>
            <w:r w:rsidRPr="00453B0E">
              <w:fldChar w:fldCharType="separate"/>
            </w:r>
            <w:r w:rsidR="00DE5BF4">
              <w:t>4.5</w:t>
            </w:r>
            <w:r w:rsidRPr="00453B0E">
              <w:fldChar w:fldCharType="end"/>
            </w:r>
            <w:r w:rsidRPr="00453B0E">
              <w:t>)</w:t>
            </w:r>
          </w:p>
        </w:tc>
        <w:tc>
          <w:tcPr>
            <w:tcW w:w="0" w:type="auto"/>
            <w:gridSpan w:val="2"/>
          </w:tcPr>
          <w:p w14:paraId="5B28BA43" w14:textId="2524C662" w:rsidR="00F23771" w:rsidRPr="00F23771" w:rsidRDefault="00F23771" w:rsidP="00F23771">
            <w:pPr>
              <w:spacing w:after="120"/>
              <w:rPr>
                <w:iCs/>
                <w:color w:val="2E74B5" w:themeColor="accent1" w:themeShade="BF"/>
              </w:rPr>
            </w:pPr>
            <w:r>
              <w:t>Geeignete</w:t>
            </w:r>
            <w:r w:rsidRPr="00497C35">
              <w:t xml:space="preserve"> Schlö</w:t>
            </w:r>
            <w:r>
              <w:t>sser zur Sicherung mobiler End</w:t>
            </w:r>
            <w:r w:rsidRPr="00497C35">
              <w:t>geräte</w:t>
            </w:r>
            <w:r>
              <w:t xml:space="preserve"> sind beispielsweise Kensington-Schlösser.</w:t>
            </w:r>
          </w:p>
        </w:tc>
      </w:tr>
      <w:tr w:rsidR="00F23771" w14:paraId="33376FE9" w14:textId="77777777" w:rsidTr="00962683">
        <w:tc>
          <w:tcPr>
            <w:tcW w:w="5670" w:type="dxa"/>
          </w:tcPr>
          <w:p w14:paraId="0C074A46" w14:textId="77777777" w:rsidR="00F23771" w:rsidRPr="00453B0E" w:rsidRDefault="00F23771" w:rsidP="00F23771">
            <w:pPr>
              <w:keepNext/>
              <w:keepLines/>
              <w:spacing w:before="40" w:after="120"/>
              <w:outlineLvl w:val="3"/>
              <w:rPr>
                <w:rFonts w:asciiTheme="majorHAnsi" w:eastAsiaTheme="majorEastAsia" w:hAnsiTheme="majorHAnsi" w:cstheme="majorBidi"/>
                <w:i/>
                <w:iCs/>
                <w:color w:val="2E74B5" w:themeColor="accent1" w:themeShade="BF"/>
              </w:rPr>
            </w:pPr>
            <w:r w:rsidRPr="00453B0E">
              <w:rPr>
                <w:rFonts w:asciiTheme="majorHAnsi" w:eastAsiaTheme="majorEastAsia" w:hAnsiTheme="majorHAnsi" w:cstheme="majorBidi"/>
                <w:i/>
                <w:iCs/>
                <w:color w:val="2E74B5" w:themeColor="accent1" w:themeShade="BF"/>
              </w:rPr>
              <w:lastRenderedPageBreak/>
              <w:t>3.2.4 IT-Verantwortliche/r</w:t>
            </w:r>
          </w:p>
          <w:p w14:paraId="22F408BF" w14:textId="01D94773" w:rsidR="00F23771" w:rsidRPr="00453B0E" w:rsidRDefault="00F23771" w:rsidP="00F23771">
            <w:pPr>
              <w:spacing w:after="120"/>
            </w:pPr>
            <w:r w:rsidRPr="00453B0E">
              <w:t>IT-Verantwortliche sind diejenigen, die über Zwecke, den Einsatz und die Mittel eines IT-Verfahrens oder -Prozesses entscheide</w:t>
            </w:r>
            <w:r>
              <w:t xml:space="preserve">n. Sie tragen die Verantwortung für die technische und organisatorische Sicherheit des Verfahrens. </w:t>
            </w:r>
          </w:p>
        </w:tc>
        <w:tc>
          <w:tcPr>
            <w:tcW w:w="0" w:type="auto"/>
            <w:gridSpan w:val="2"/>
          </w:tcPr>
          <w:p w14:paraId="070057DD" w14:textId="77777777" w:rsidR="00F23771" w:rsidRPr="00453B0E" w:rsidRDefault="00F23771" w:rsidP="00F23771">
            <w:pPr>
              <w:spacing w:after="120"/>
              <w:rPr>
                <w:i/>
                <w:iCs/>
                <w:color w:val="2E74B5" w:themeColor="accent1" w:themeShade="BF"/>
              </w:rPr>
            </w:pPr>
          </w:p>
        </w:tc>
      </w:tr>
      <w:tr w:rsidR="00F23771" w14:paraId="2B24503D" w14:textId="77777777" w:rsidTr="00962683">
        <w:tc>
          <w:tcPr>
            <w:tcW w:w="5670" w:type="dxa"/>
          </w:tcPr>
          <w:p w14:paraId="47A18ACE" w14:textId="77777777" w:rsidR="00F23771" w:rsidRPr="00453B0E" w:rsidRDefault="00F23771" w:rsidP="00F23771">
            <w:pPr>
              <w:keepNext/>
              <w:keepLines/>
              <w:spacing w:before="40" w:after="120"/>
              <w:outlineLvl w:val="3"/>
              <w:rPr>
                <w:rFonts w:asciiTheme="majorHAnsi" w:eastAsiaTheme="majorEastAsia" w:hAnsiTheme="majorHAnsi" w:cstheme="majorBidi"/>
                <w:i/>
                <w:iCs/>
                <w:color w:val="2E74B5" w:themeColor="accent1" w:themeShade="BF"/>
              </w:rPr>
            </w:pPr>
            <w:r w:rsidRPr="00453B0E">
              <w:rPr>
                <w:rFonts w:asciiTheme="majorHAnsi" w:eastAsiaTheme="majorEastAsia" w:hAnsiTheme="majorHAnsi" w:cstheme="majorBidi"/>
                <w:i/>
                <w:iCs/>
                <w:color w:val="2E74B5" w:themeColor="accent1" w:themeShade="BF"/>
              </w:rPr>
              <w:t>3.2.5 Bereichsleitung</w:t>
            </w:r>
          </w:p>
          <w:p w14:paraId="53DB0A51" w14:textId="0A12F35C" w:rsidR="00F23771" w:rsidRPr="00453B0E" w:rsidRDefault="00F23771" w:rsidP="00F23771">
            <w:pPr>
              <w:spacing w:after="120"/>
            </w:pPr>
            <w:r w:rsidRPr="00453B0E">
              <w:t>Bereichsleitung ist diejenige Person, die einer Einrichtung, einem Dezernat usw. vorsteht. Als Fachvorgesetzte sind die Bereichsleitungen für die erforderlichen aufgabenspezifischen Schulungen ihrer Mitarbeiterinnen und Mitarbeiter verantwortlich. Sie tragen dafür Sorge, dass ihre Mitarbeiterinnen und Mitarbeiter an den angebotenen Schulungen des URMZ und der Datenschutzbeauftragten zur IT-Sicherheit und zum Datenschutz teilnehmen.</w:t>
            </w:r>
          </w:p>
        </w:tc>
        <w:tc>
          <w:tcPr>
            <w:tcW w:w="0" w:type="auto"/>
            <w:gridSpan w:val="2"/>
          </w:tcPr>
          <w:p w14:paraId="152798F9" w14:textId="77777777" w:rsidR="00F23771" w:rsidRPr="00453B0E" w:rsidRDefault="00F23771" w:rsidP="00F23771">
            <w:pPr>
              <w:spacing w:after="120"/>
              <w:rPr>
                <w:i/>
                <w:iCs/>
                <w:color w:val="2E74B5" w:themeColor="accent1" w:themeShade="BF"/>
              </w:rPr>
            </w:pPr>
          </w:p>
        </w:tc>
      </w:tr>
      <w:tr w:rsidR="00F23771" w14:paraId="40DB97F3" w14:textId="77777777" w:rsidTr="00962683">
        <w:tc>
          <w:tcPr>
            <w:tcW w:w="5670" w:type="dxa"/>
          </w:tcPr>
          <w:p w14:paraId="1AD6C24A" w14:textId="77777777" w:rsidR="00F23771" w:rsidRPr="00453B0E" w:rsidRDefault="00F23771" w:rsidP="00F23771">
            <w:pPr>
              <w:keepNext/>
              <w:keepLines/>
              <w:spacing w:before="40" w:after="120"/>
              <w:outlineLvl w:val="3"/>
              <w:rPr>
                <w:rFonts w:asciiTheme="majorHAnsi" w:eastAsiaTheme="majorEastAsia" w:hAnsiTheme="majorHAnsi" w:cstheme="majorBidi"/>
                <w:i/>
                <w:iCs/>
                <w:color w:val="2E74B5" w:themeColor="accent1" w:themeShade="BF"/>
              </w:rPr>
            </w:pPr>
            <w:r w:rsidRPr="00453B0E">
              <w:rPr>
                <w:rFonts w:asciiTheme="majorHAnsi" w:eastAsiaTheme="majorEastAsia" w:hAnsiTheme="majorHAnsi" w:cstheme="majorBidi"/>
                <w:i/>
                <w:iCs/>
                <w:color w:val="2E74B5" w:themeColor="accent1" w:themeShade="BF"/>
              </w:rPr>
              <w:t>3.2.6 IT-Nutzer/in</w:t>
            </w:r>
          </w:p>
          <w:p w14:paraId="38AFCA13" w14:textId="4C9C2D9E" w:rsidR="00F23771" w:rsidRPr="00453B0E" w:rsidRDefault="00F23771" w:rsidP="00F23771">
            <w:pPr>
              <w:spacing w:after="120"/>
            </w:pPr>
            <w:r w:rsidRPr="00453B0E">
              <w:t xml:space="preserve">IT-Nutzerinnen und -Nutzer im Sinne dieser Richtlinie sind alle Personen, die IT-Systeme und -Verfahren der Universität Erfurt benutzen oder betreiben. Sie tragen die Verantwortung, die in dieser Richtlinie und ergänzenden Handreichungen formulierten Pflichten und getroffenen Regelungen für IT-Nutzerinnen und -Nutzer (vgl. Abschnitt </w:t>
            </w:r>
            <w:r w:rsidRPr="00453B0E">
              <w:fldChar w:fldCharType="begin"/>
            </w:r>
            <w:r w:rsidRPr="00453B0E">
              <w:instrText xml:space="preserve"> REF _Ref11419814 \r \h </w:instrText>
            </w:r>
            <w:r w:rsidRPr="00453B0E">
              <w:fldChar w:fldCharType="separate"/>
            </w:r>
            <w:r w:rsidR="00DE5BF4">
              <w:t>5</w:t>
            </w:r>
            <w:r w:rsidRPr="00453B0E">
              <w:fldChar w:fldCharType="end"/>
            </w:r>
            <w:r w:rsidRPr="00453B0E">
              <w:t>) einzuhalten.</w:t>
            </w:r>
          </w:p>
        </w:tc>
        <w:tc>
          <w:tcPr>
            <w:tcW w:w="0" w:type="auto"/>
            <w:gridSpan w:val="2"/>
          </w:tcPr>
          <w:p w14:paraId="4AE7FCD7" w14:textId="77777777" w:rsidR="00F23771" w:rsidRPr="00453B0E" w:rsidRDefault="00F23771" w:rsidP="00F23771">
            <w:pPr>
              <w:spacing w:after="120"/>
              <w:rPr>
                <w:i/>
                <w:iCs/>
                <w:color w:val="2E74B5" w:themeColor="accent1" w:themeShade="BF"/>
              </w:rPr>
            </w:pPr>
          </w:p>
        </w:tc>
      </w:tr>
      <w:tr w:rsidR="00F23771" w14:paraId="7CD548F2" w14:textId="77777777" w:rsidTr="00962683">
        <w:tc>
          <w:tcPr>
            <w:tcW w:w="5670" w:type="dxa"/>
          </w:tcPr>
          <w:p w14:paraId="0AEC4657" w14:textId="22B744F4" w:rsidR="00F23771" w:rsidRDefault="00F23771" w:rsidP="00F23771">
            <w:pPr>
              <w:pStyle w:val="berschrift2"/>
              <w:numPr>
                <w:ilvl w:val="0"/>
                <w:numId w:val="1"/>
              </w:numPr>
              <w:outlineLvl w:val="1"/>
            </w:pPr>
            <w:bookmarkStart w:id="11" w:name="_Toc12439628"/>
            <w:bookmarkStart w:id="12" w:name="_Toc17278435"/>
            <w:r>
              <w:lastRenderedPageBreak/>
              <w:t>Grundsätze und Prinzipien der IT-Sicherheit</w:t>
            </w:r>
            <w:bookmarkEnd w:id="11"/>
            <w:bookmarkEnd w:id="12"/>
          </w:p>
          <w:p w14:paraId="2553223E" w14:textId="77777777" w:rsidR="00F23771" w:rsidRDefault="00F23771" w:rsidP="00F23771">
            <w:pPr>
              <w:spacing w:after="120"/>
            </w:pPr>
            <w:r>
              <w:t>Der IT-Sicherheit an der Universität Erfurt liegen folgende Grundsätze und Prinzipien zugrunde:</w:t>
            </w:r>
          </w:p>
          <w:p w14:paraId="01556591" w14:textId="77777777" w:rsidR="00F23771" w:rsidRPr="008E15D1" w:rsidRDefault="00F23771" w:rsidP="00F23771">
            <w:pPr>
              <w:pStyle w:val="Listenabsatz"/>
              <w:numPr>
                <w:ilvl w:val="0"/>
                <w:numId w:val="6"/>
              </w:numPr>
              <w:spacing w:after="120"/>
              <w:ind w:left="357" w:hanging="357"/>
            </w:pPr>
            <w:r>
              <w:rPr>
                <w:rFonts w:ascii="Calibri" w:hAnsi="Calibri" w:cs="Calibri"/>
              </w:rPr>
              <w:t>IT-Sicherheit wird als strategische Aufgabe begriffen, und Maßnahmen zu ihrer Gewährleistung werden durch das Präsidium unterstützt</w:t>
            </w:r>
          </w:p>
          <w:p w14:paraId="44261244" w14:textId="77777777" w:rsidR="00F23771" w:rsidRPr="008E15D1" w:rsidRDefault="00F23771" w:rsidP="00F23771">
            <w:pPr>
              <w:pStyle w:val="Listenabsatz"/>
              <w:numPr>
                <w:ilvl w:val="0"/>
                <w:numId w:val="6"/>
              </w:numPr>
              <w:spacing w:after="120"/>
              <w:ind w:left="357" w:hanging="357"/>
            </w:pPr>
            <w:r w:rsidRPr="008E15D1">
              <w:t>IT-Systeme werden durch kompetentes Personal langfristig betreut</w:t>
            </w:r>
          </w:p>
          <w:p w14:paraId="03978317" w14:textId="77777777" w:rsidR="00F23771" w:rsidRPr="008E15D1" w:rsidRDefault="00F23771" w:rsidP="00F23771">
            <w:pPr>
              <w:pStyle w:val="Listenabsatz"/>
              <w:numPr>
                <w:ilvl w:val="0"/>
                <w:numId w:val="6"/>
              </w:numPr>
              <w:spacing w:after="120"/>
              <w:ind w:left="357" w:hanging="357"/>
            </w:pPr>
            <w:r>
              <w:rPr>
                <w:rFonts w:ascii="Calibri" w:hAnsi="Calibri" w:cs="Calibri"/>
              </w:rPr>
              <w:t>IT-Systeme werden in einer sicheren Umgebung betrieben und insbesondere auch vor Diebstahl geschützt</w:t>
            </w:r>
          </w:p>
          <w:p w14:paraId="668CB3C3" w14:textId="77777777" w:rsidR="00F23771" w:rsidRPr="008E15D1" w:rsidRDefault="00F23771" w:rsidP="00F23771">
            <w:pPr>
              <w:pStyle w:val="Listenabsatz"/>
              <w:numPr>
                <w:ilvl w:val="0"/>
                <w:numId w:val="6"/>
              </w:numPr>
              <w:spacing w:after="120"/>
              <w:ind w:left="357" w:hanging="357"/>
            </w:pPr>
            <w:r w:rsidRPr="008E15D1">
              <w:t>IT-Systeme werden auf einem adäquaten Versionsstand gehalten</w:t>
            </w:r>
          </w:p>
          <w:p w14:paraId="3ED938B3" w14:textId="77777777" w:rsidR="00F23771" w:rsidRPr="008E15D1" w:rsidRDefault="00F23771" w:rsidP="00F23771">
            <w:pPr>
              <w:pStyle w:val="Listenabsatz"/>
              <w:numPr>
                <w:ilvl w:val="0"/>
                <w:numId w:val="6"/>
              </w:numPr>
              <w:spacing w:after="120"/>
              <w:ind w:left="357" w:hanging="357"/>
            </w:pPr>
            <w:r w:rsidRPr="008E15D1">
              <w:t>IT-Systeme werden vor schädlicher Software (sog. „Malware“) geschützt</w:t>
            </w:r>
          </w:p>
          <w:p w14:paraId="2E610458" w14:textId="77777777" w:rsidR="00F23771" w:rsidRDefault="00F23771" w:rsidP="00F23771">
            <w:pPr>
              <w:pStyle w:val="Listenabsatz"/>
              <w:numPr>
                <w:ilvl w:val="0"/>
                <w:numId w:val="6"/>
              </w:numPr>
              <w:spacing w:after="120"/>
              <w:ind w:left="357" w:hanging="357"/>
            </w:pPr>
            <w:r>
              <w:t>Die administrative Arbeit auf IT-Systemen wird sicher und nachvollziehbar gestaltet</w:t>
            </w:r>
          </w:p>
          <w:p w14:paraId="5AF06B39" w14:textId="77777777" w:rsidR="00F23771" w:rsidRDefault="00F23771" w:rsidP="00F23771">
            <w:pPr>
              <w:pStyle w:val="Listenabsatz"/>
              <w:numPr>
                <w:ilvl w:val="0"/>
                <w:numId w:val="6"/>
              </w:numPr>
              <w:spacing w:after="120"/>
              <w:ind w:left="357" w:hanging="357"/>
            </w:pPr>
            <w:r>
              <w:t xml:space="preserve">Informationen werden ihrem </w:t>
            </w:r>
            <w:r w:rsidRPr="0011638E">
              <w:t>Schutzbedarf</w:t>
            </w:r>
            <w:r>
              <w:t xml:space="preserve"> entsprechend angemessen sicher verarbeitet und adäquat vor unberechtigten Zugriffen geschützt</w:t>
            </w:r>
          </w:p>
          <w:p w14:paraId="544E5FF1" w14:textId="6D1A54DA" w:rsidR="00F23771" w:rsidRDefault="005B7A57" w:rsidP="00F23771">
            <w:pPr>
              <w:pStyle w:val="Listenabsatz"/>
              <w:numPr>
                <w:ilvl w:val="0"/>
                <w:numId w:val="6"/>
              </w:numPr>
              <w:spacing w:after="120"/>
              <w:ind w:left="357" w:hanging="357"/>
            </w:pPr>
            <w:r>
              <w:t>IT-</w:t>
            </w:r>
            <w:r w:rsidR="002C7A67">
              <w:t>nutzende Beschäftigte</w:t>
            </w:r>
            <w:r w:rsidR="00F23771">
              <w:t xml:space="preserve"> werden geschult, so dass in der Breite ein Grundverständnis für Belange der IT-Sicherheit gewährleistet werden kann</w:t>
            </w:r>
            <w:r w:rsidR="008F2531">
              <w:t>; hinzu kommen a</w:t>
            </w:r>
            <w:r w:rsidR="005408F3">
              <w:t>ufgabenspezifische Schulung</w:t>
            </w:r>
            <w:r w:rsidR="008F2531">
              <w:t>en</w:t>
            </w:r>
            <w:r w:rsidR="005408F3">
              <w:t xml:space="preserve"> (vgl. Ziffer </w:t>
            </w:r>
            <w:r w:rsidR="005408F3">
              <w:fldChar w:fldCharType="begin"/>
            </w:r>
            <w:r w:rsidR="005408F3">
              <w:instrText xml:space="preserve"> REF _Ref12009831 \r \h </w:instrText>
            </w:r>
            <w:r w:rsidR="005408F3">
              <w:fldChar w:fldCharType="separate"/>
            </w:r>
            <w:r w:rsidR="00DE5BF4">
              <w:t>4.3</w:t>
            </w:r>
            <w:r w:rsidR="005408F3">
              <w:fldChar w:fldCharType="end"/>
            </w:r>
            <w:r w:rsidR="005408F3">
              <w:t>).</w:t>
            </w:r>
          </w:p>
          <w:p w14:paraId="5DC39284" w14:textId="77777777" w:rsidR="00F23771" w:rsidRDefault="00F23771" w:rsidP="00F23771">
            <w:pPr>
              <w:pStyle w:val="Listenabsatz"/>
              <w:numPr>
                <w:ilvl w:val="0"/>
                <w:numId w:val="6"/>
              </w:numPr>
              <w:spacing w:after="120"/>
              <w:ind w:left="357" w:hanging="357"/>
            </w:pPr>
            <w:r>
              <w:t>IT-Sicherheitszwischenfälle werden dokumentiert und kommuniziert</w:t>
            </w:r>
          </w:p>
          <w:p w14:paraId="2835ECE7" w14:textId="762D565C" w:rsidR="00F23771" w:rsidRDefault="00F23771" w:rsidP="00F23771">
            <w:pPr>
              <w:pStyle w:val="Listenabsatz"/>
              <w:numPr>
                <w:ilvl w:val="0"/>
                <w:numId w:val="6"/>
              </w:numPr>
              <w:spacing w:after="120"/>
              <w:ind w:left="357" w:hanging="357"/>
            </w:pPr>
            <w:r>
              <w:t>Die IT-Sicherheitsrichtlinie wird regelmäßig, mindestens jedoch einmal pro Jahr auf ihre Aktualität, Wirksamkeit und Angemessenheit hin überprüft und bei Bedarf weiterentwickelt.</w:t>
            </w:r>
          </w:p>
        </w:tc>
        <w:tc>
          <w:tcPr>
            <w:tcW w:w="0" w:type="auto"/>
            <w:gridSpan w:val="2"/>
          </w:tcPr>
          <w:p w14:paraId="37CE3508" w14:textId="77777777" w:rsidR="00F23771" w:rsidRDefault="00F23771" w:rsidP="00F23771">
            <w:pPr>
              <w:spacing w:after="120"/>
            </w:pPr>
          </w:p>
        </w:tc>
      </w:tr>
      <w:tr w:rsidR="00F23771" w14:paraId="2073AB19" w14:textId="77777777" w:rsidTr="00962683">
        <w:tc>
          <w:tcPr>
            <w:tcW w:w="5670" w:type="dxa"/>
          </w:tcPr>
          <w:p w14:paraId="689E7981" w14:textId="6AC68299" w:rsidR="00F23771" w:rsidRDefault="00F23771" w:rsidP="00F23771">
            <w:pPr>
              <w:pStyle w:val="berschrift3"/>
              <w:numPr>
                <w:ilvl w:val="1"/>
                <w:numId w:val="1"/>
              </w:numPr>
              <w:spacing w:after="120"/>
              <w:outlineLvl w:val="2"/>
            </w:pPr>
            <w:bookmarkStart w:id="13" w:name="_Ref12009808"/>
            <w:bookmarkStart w:id="14" w:name="_Toc12439629"/>
            <w:bookmarkStart w:id="15" w:name="_Toc17278436"/>
            <w:r>
              <w:t>Registrierung mobiler dienstlicher Endgeräte und Unterweisung der IT-Nutzerinnen und -Nutzer</w:t>
            </w:r>
            <w:bookmarkEnd w:id="13"/>
            <w:bookmarkEnd w:id="14"/>
            <w:bookmarkEnd w:id="15"/>
          </w:p>
          <w:p w14:paraId="1D5C7256" w14:textId="56BC1E20" w:rsidR="00F23771" w:rsidRDefault="00F23771" w:rsidP="00F23771">
            <w:pPr>
              <w:spacing w:after="120"/>
            </w:pPr>
            <w:r>
              <w:t xml:space="preserve">Alle dienstlichen mobilen Geräte (Smartphones, Tablets, Notebooks, usw.), auch solche, die nicht vom URMZ betreut werden, sind vom URMZ/zuständigen IT-Personal in einer Liste zu erfassen und zu registrieren. Die IT-Nutzerinnen und -Nutzer werden bei der Übergabe durch ein entsprechendes Hinweisblatt über den Umgang mit dem mobilen Gerät informiert und bestätigen die Kenntnisnahme und Einhaltung der Regeln durch Unterschrift. </w:t>
            </w:r>
          </w:p>
        </w:tc>
        <w:tc>
          <w:tcPr>
            <w:tcW w:w="0" w:type="auto"/>
            <w:gridSpan w:val="2"/>
          </w:tcPr>
          <w:p w14:paraId="265A1463" w14:textId="41AF00ED" w:rsidR="00F23771" w:rsidRDefault="00F23771" w:rsidP="00F23771">
            <w:pPr>
              <w:spacing w:after="120"/>
            </w:pPr>
            <w:r>
              <w:t>Verantwortlich für die Initiierung: CIO, Bereichsleitung</w:t>
            </w:r>
            <w:r>
              <w:br/>
              <w:t>Verantwortlich für die Umsetzung: URMZ, IT-</w:t>
            </w:r>
            <w:r w:rsidR="008F2531">
              <w:t>Nutzerinnen und -Nutzer</w:t>
            </w:r>
          </w:p>
          <w:p w14:paraId="3F9288C5" w14:textId="77777777" w:rsidR="00F23771" w:rsidRDefault="00F23771" w:rsidP="00F23771">
            <w:pPr>
              <w:spacing w:after="120"/>
            </w:pPr>
          </w:p>
          <w:p w14:paraId="7E9B21FC" w14:textId="5764580B" w:rsidR="00F23771" w:rsidRDefault="00F23771" w:rsidP="00F23771">
            <w:pPr>
              <w:spacing w:after="120"/>
            </w:pPr>
            <w:r>
              <w:t xml:space="preserve">Das </w:t>
            </w:r>
            <w:r w:rsidRPr="00497C35">
              <w:t>Hinweisblatt zur Vergabe von Administrationsrechten für PC-</w:t>
            </w:r>
            <w:r>
              <w:t xml:space="preserve">, </w:t>
            </w:r>
            <w:r w:rsidRPr="00497C35">
              <w:t>Notebooknutzer an der Universität Erfurt</w:t>
            </w:r>
            <w:r>
              <w:t xml:space="preserve"> finden Sie im Intranet unter </w:t>
            </w:r>
            <w:hyperlink r:id="rId10" w:history="1">
              <w:r w:rsidRPr="00932A71">
                <w:rPr>
                  <w:rStyle w:val="Hyperlink"/>
                </w:rPr>
                <w:t>https://www.uni-erfurt.de/mitarbeiterservice/mein-arbeitsplatz/it-service/selbstadministration/</w:t>
              </w:r>
            </w:hyperlink>
            <w:r>
              <w:t xml:space="preserve"> </w:t>
            </w:r>
          </w:p>
        </w:tc>
      </w:tr>
      <w:tr w:rsidR="00F23771" w14:paraId="5EB4A08D" w14:textId="77777777" w:rsidTr="00962683">
        <w:tc>
          <w:tcPr>
            <w:tcW w:w="5670" w:type="dxa"/>
          </w:tcPr>
          <w:p w14:paraId="0638FABF" w14:textId="30B026A1" w:rsidR="00F23771" w:rsidRDefault="00F23771" w:rsidP="00F23771">
            <w:pPr>
              <w:pStyle w:val="berschrift3"/>
              <w:numPr>
                <w:ilvl w:val="1"/>
                <w:numId w:val="1"/>
              </w:numPr>
              <w:spacing w:after="120"/>
              <w:outlineLvl w:val="2"/>
            </w:pPr>
            <w:bookmarkStart w:id="16" w:name="_Ref12009762"/>
            <w:bookmarkStart w:id="17" w:name="_Toc12439630"/>
            <w:bookmarkStart w:id="18" w:name="_Toc17278437"/>
            <w:r>
              <w:lastRenderedPageBreak/>
              <w:t>Sicherung der IT-Infrastruktur</w:t>
            </w:r>
            <w:bookmarkEnd w:id="16"/>
            <w:bookmarkEnd w:id="17"/>
            <w:bookmarkEnd w:id="18"/>
          </w:p>
          <w:p w14:paraId="7DD6D2DB" w14:textId="1D6C8A16" w:rsidR="00F23771" w:rsidRPr="001327D3" w:rsidRDefault="00F23771" w:rsidP="00326A93">
            <w:pPr>
              <w:spacing w:after="120"/>
              <w:rPr>
                <w:rFonts w:cstheme="minorHAnsi"/>
              </w:rPr>
            </w:pPr>
            <w:r w:rsidRPr="00836269">
              <w:rPr>
                <w:rFonts w:cstheme="minorHAnsi"/>
              </w:rPr>
              <w:t xml:space="preserve">Die IT-Infrastruktur der Universität Erfurt ist gegen unbefugten Zugang zu schützen. Dies </w:t>
            </w:r>
            <w:r w:rsidR="002E28FC">
              <w:rPr>
                <w:rFonts w:cstheme="minorHAnsi"/>
              </w:rPr>
              <w:t xml:space="preserve">ist </w:t>
            </w:r>
            <w:r w:rsidRPr="00836269">
              <w:rPr>
                <w:rFonts w:cstheme="minorHAnsi"/>
              </w:rPr>
              <w:t xml:space="preserve">durch </w:t>
            </w:r>
            <w:r>
              <w:rPr>
                <w:rFonts w:cstheme="minorHAnsi"/>
              </w:rPr>
              <w:t xml:space="preserve">technische und organisatorische </w:t>
            </w:r>
            <w:r w:rsidRPr="00836269">
              <w:rPr>
                <w:rFonts w:cstheme="minorHAnsi"/>
              </w:rPr>
              <w:t>Maßnahmen</w:t>
            </w:r>
            <w:r w:rsidR="002E28FC">
              <w:rPr>
                <w:rFonts w:cstheme="minorHAnsi"/>
              </w:rPr>
              <w:t xml:space="preserve"> sicherzustellen</w:t>
            </w:r>
            <w:r w:rsidRPr="00836269">
              <w:rPr>
                <w:rFonts w:cstheme="minorHAnsi"/>
              </w:rPr>
              <w:t xml:space="preserve">, die den Zugang zu schützenswerten Daten verhindern oder zumindest erschweren. </w:t>
            </w:r>
            <w:r>
              <w:rPr>
                <w:rFonts w:cstheme="minorHAnsi"/>
              </w:rPr>
              <w:t>Das Nähere regelt das IT-Sicherheitskonzept des URMZ.</w:t>
            </w:r>
          </w:p>
        </w:tc>
        <w:tc>
          <w:tcPr>
            <w:tcW w:w="0" w:type="auto"/>
            <w:gridSpan w:val="2"/>
          </w:tcPr>
          <w:p w14:paraId="77A36D0C" w14:textId="1D0087B1" w:rsidR="00F23771" w:rsidRDefault="00F23771" w:rsidP="00F23771">
            <w:pPr>
              <w:spacing w:after="120"/>
            </w:pPr>
            <w:r>
              <w:t>Verantwortlich für die Initiierung: CIO, Bereichsleitung</w:t>
            </w:r>
            <w:r>
              <w:br/>
              <w:t>Verantwortlich für die Umsetzung: URMZ</w:t>
            </w:r>
          </w:p>
          <w:p w14:paraId="35642A39" w14:textId="77777777" w:rsidR="00F23771" w:rsidRDefault="00F23771" w:rsidP="00F23771">
            <w:pPr>
              <w:spacing w:after="120"/>
            </w:pPr>
          </w:p>
        </w:tc>
      </w:tr>
      <w:tr w:rsidR="00F23771" w14:paraId="1D7BB0CD" w14:textId="77777777" w:rsidTr="00962683">
        <w:tc>
          <w:tcPr>
            <w:tcW w:w="5670" w:type="dxa"/>
          </w:tcPr>
          <w:p w14:paraId="2A4D6DF9" w14:textId="21392927" w:rsidR="00F23771" w:rsidRDefault="00F23771" w:rsidP="00F23771">
            <w:pPr>
              <w:pStyle w:val="berschrift3"/>
              <w:numPr>
                <w:ilvl w:val="1"/>
                <w:numId w:val="1"/>
              </w:numPr>
              <w:spacing w:after="120"/>
              <w:outlineLvl w:val="2"/>
            </w:pPr>
            <w:bookmarkStart w:id="19" w:name="_Ref12009831"/>
            <w:bookmarkStart w:id="20" w:name="_Toc12439631"/>
            <w:bookmarkStart w:id="21" w:name="_Toc17278438"/>
            <w:r>
              <w:t>Schulungen</w:t>
            </w:r>
            <w:bookmarkEnd w:id="19"/>
            <w:bookmarkEnd w:id="20"/>
            <w:bookmarkEnd w:id="21"/>
          </w:p>
          <w:p w14:paraId="7780B415" w14:textId="556D915A" w:rsidR="00F23771" w:rsidRPr="007B7F38" w:rsidRDefault="00E62C89" w:rsidP="00F23771">
            <w:pPr>
              <w:spacing w:after="120"/>
            </w:pPr>
            <w:hyperlink w:anchor="_bookmark3" w:history="1"/>
            <w:r w:rsidR="005B7A57">
              <w:t>Die IT-</w:t>
            </w:r>
            <w:r w:rsidR="00CA1BFA">
              <w:t>nutzende Beschäftigte</w:t>
            </w:r>
            <w:r w:rsidR="00F23771" w:rsidRPr="007B7F38">
              <w:t xml:space="preserve"> sind grundsätzlich aufgabenspezifisch zu schulen und dürfen erst dann mit IT-Verfahren arbeiten. Dabei sind sie insbesondere auch mit den für sie geltenden Sicherheitsmaßnahmen und den Erfordernissen des Datenschutzes vertraut zu machen. </w:t>
            </w:r>
          </w:p>
          <w:p w14:paraId="1F898689" w14:textId="77777777" w:rsidR="00F23771" w:rsidRPr="007B7F38" w:rsidRDefault="00F23771" w:rsidP="00F23771">
            <w:pPr>
              <w:spacing w:after="120"/>
            </w:pPr>
            <w:r w:rsidRPr="007B7F38">
              <w:t>Diese Schulung hat prinzipiell das allgemeine Sicherheitsbewusstsein und die Einsicht in die Notwendigkeit von IT-Sicherheitsmaßnahmen zu entwickeln. Die Schulung sollte auch eine realistische Selbsteinschätzung fördern. Die IT-</w:t>
            </w:r>
            <w:r>
              <w:t>Nutzerinnen und -Nutzer</w:t>
            </w:r>
            <w:r w:rsidRPr="007B7F38">
              <w:t xml:space="preserve"> </w:t>
            </w:r>
            <w:r>
              <w:t>sollen in die Lage versetzt werden zu erkennen</w:t>
            </w:r>
            <w:r w:rsidRPr="007B7F38">
              <w:t>, wann IT-</w:t>
            </w:r>
            <w:r>
              <w:t>Personal</w:t>
            </w:r>
            <w:r w:rsidRPr="007B7F38">
              <w:t xml:space="preserve"> sowie IT-Sicherheits- und Datenschutzbeauftragte</w:t>
            </w:r>
            <w:r>
              <w:t>/r</w:t>
            </w:r>
            <w:r w:rsidRPr="007B7F38">
              <w:t xml:space="preserve"> hinzugezogen werden müssen.</w:t>
            </w:r>
          </w:p>
          <w:p w14:paraId="4C4D94A3" w14:textId="3D46A504" w:rsidR="00F23771" w:rsidRDefault="00F23771" w:rsidP="00CA1BFA">
            <w:pPr>
              <w:spacing w:after="120"/>
            </w:pPr>
            <w:r w:rsidRPr="007B7F38">
              <w:t xml:space="preserve">Zusätzlich </w:t>
            </w:r>
            <w:r w:rsidR="005408F3">
              <w:t>organisiert das URMZ</w:t>
            </w:r>
            <w:r w:rsidR="002C7A67">
              <w:t xml:space="preserve"> (vgl. Ziff. 3.2.3) </w:t>
            </w:r>
            <w:r w:rsidR="005408F3">
              <w:t xml:space="preserve"> Schulungen </w:t>
            </w:r>
            <w:r w:rsidR="005B7A57">
              <w:t>für IT-</w:t>
            </w:r>
            <w:r w:rsidR="00CA1BFA">
              <w:t xml:space="preserve">nutzende Beschäftigte </w:t>
            </w:r>
            <w:r w:rsidR="005408F3">
              <w:t xml:space="preserve">zu </w:t>
            </w:r>
            <w:r w:rsidRPr="007B7F38">
              <w:t>den Grundlagen der IT-Sicherheit und des Datenschutzes</w:t>
            </w:r>
            <w:r w:rsidR="005408F3">
              <w:t>, die von</w:t>
            </w:r>
            <w:r w:rsidR="008F2531">
              <w:t xml:space="preserve"> den</w:t>
            </w:r>
            <w:r w:rsidR="005408F3">
              <w:t xml:space="preserve"> IT-</w:t>
            </w:r>
            <w:r w:rsidR="00CA1BFA">
              <w:t>nutzenden Beschäftigten</w:t>
            </w:r>
            <w:r w:rsidR="008F2531">
              <w:t xml:space="preserve"> </w:t>
            </w:r>
            <w:r w:rsidR="005408F3">
              <w:t>einmal jährlich verpflichtend wahrzunehmen sind</w:t>
            </w:r>
            <w:r w:rsidRPr="007B7F38">
              <w:t>.</w:t>
            </w:r>
          </w:p>
        </w:tc>
        <w:tc>
          <w:tcPr>
            <w:tcW w:w="0" w:type="auto"/>
            <w:gridSpan w:val="2"/>
          </w:tcPr>
          <w:p w14:paraId="03F0FB47" w14:textId="78840776" w:rsidR="00F23771" w:rsidRDefault="00F23771" w:rsidP="00F23771">
            <w:pPr>
              <w:spacing w:after="120"/>
            </w:pPr>
            <w:r>
              <w:t xml:space="preserve">Verantwortlich für die Initiierung: </w:t>
            </w:r>
            <w:r w:rsidR="00F6611E">
              <w:t>URMZ</w:t>
            </w:r>
            <w:r>
              <w:t>, Bereichsleitung</w:t>
            </w:r>
            <w:r>
              <w:br/>
              <w:t xml:space="preserve">Verantwortlich für die Umsetzung: URMZ, </w:t>
            </w:r>
            <w:r w:rsidR="00F6611E">
              <w:t>Bereichsleitung</w:t>
            </w:r>
          </w:p>
          <w:p w14:paraId="574C1984" w14:textId="77777777" w:rsidR="00F23771" w:rsidRDefault="00F23771" w:rsidP="00F23771">
            <w:pPr>
              <w:spacing w:after="120"/>
            </w:pPr>
          </w:p>
        </w:tc>
      </w:tr>
      <w:tr w:rsidR="00F23771" w14:paraId="6F8088EF" w14:textId="77777777" w:rsidTr="00962683">
        <w:tc>
          <w:tcPr>
            <w:tcW w:w="5670" w:type="dxa"/>
          </w:tcPr>
          <w:p w14:paraId="1F10289F" w14:textId="0BD9F0BE" w:rsidR="00F23771" w:rsidRDefault="00F23771" w:rsidP="00F23771">
            <w:pPr>
              <w:pStyle w:val="berschrift3"/>
              <w:numPr>
                <w:ilvl w:val="1"/>
                <w:numId w:val="1"/>
              </w:numPr>
              <w:spacing w:after="120"/>
              <w:outlineLvl w:val="2"/>
            </w:pPr>
            <w:bookmarkStart w:id="22" w:name="_Ref12009794"/>
            <w:bookmarkStart w:id="23" w:name="_Toc12439632"/>
            <w:bookmarkStart w:id="24" w:name="_Toc17278439"/>
            <w:r>
              <w:lastRenderedPageBreak/>
              <w:t>Zugriffschutz</w:t>
            </w:r>
            <w:bookmarkEnd w:id="22"/>
            <w:bookmarkEnd w:id="23"/>
            <w:bookmarkEnd w:id="24"/>
          </w:p>
          <w:p w14:paraId="49F31708" w14:textId="77777777" w:rsidR="00F23771" w:rsidRDefault="00F23771" w:rsidP="00F23771">
            <w:pPr>
              <w:spacing w:after="120"/>
            </w:pPr>
            <w:r>
              <w:t>Alle Rechnersysteme sind so einzurichten, dass nur berechtigte Nutzerinnen und Nutzer die Möglichkeit haben, mit ihnen zu arbeiten. Infolgedessen ist zunächst eine Anmeldung mit Benutzerkennung und einem Kennwort oder anderen eindeutigen Merkmalen erforderlich.</w:t>
            </w:r>
          </w:p>
          <w:p w14:paraId="0DC75B63" w14:textId="77777777" w:rsidR="00F23771" w:rsidRDefault="00F23771" w:rsidP="00F23771">
            <w:pPr>
              <w:spacing w:after="120"/>
            </w:pPr>
            <w:r>
              <w:t>Die Vergabe von Benutzerkennungen für die Arbeit an IT-Systemen erfolgt grundsätzlich personenbezogen. In den Fällen, in denen aus dienstlichen Gründen ein Account ohne Personenbezug erforderlich ist, kann ein Funktions-Account eingerichtet werden. Der Kreis der Nutzerinnen und Nutzer solcher Funktions-Accounts ist unbedingt auf das Notwendigste zu beschränken und regelmäßig zu überprüfen.</w:t>
            </w:r>
          </w:p>
          <w:p w14:paraId="34099166" w14:textId="77777777" w:rsidR="00F23771" w:rsidRDefault="00F23771" w:rsidP="00F23771">
            <w:pPr>
              <w:spacing w:after="120"/>
            </w:pPr>
            <w:r>
              <w:t>Die Nutzerinnen und Nutzer dürfen nur mit den Zugriffsrechten ausgestattet werden, die unmittelbar für die Erledigung ihrer Aufgaben vorgesehen sind. Insbesondere sind alltägliche Arbeiten nicht mit privilegierten Benutzerkonten (Administrator, root o. a.) vorzunehmen.</w:t>
            </w:r>
          </w:p>
          <w:p w14:paraId="6E1BC4E0" w14:textId="77777777" w:rsidR="00F23771" w:rsidRDefault="00F23771" w:rsidP="00F23771">
            <w:pPr>
              <w:spacing w:after="120"/>
            </w:pPr>
            <w:r>
              <w:t>Bei allen administrativen Anwendungen (z.B.: ERP-System), die gesetzlichen Anforderungen genügen müssen (Datenschutz, Handelsgesetzbuch, u. a.), erfolgt die Vergabe bzw. Änderung der Zugriffsrechte für die einzelnen Nutzerinnen und Nutzer auf schriftlichen Antrag mit Zustimmung der Bereichsleitung.</w:t>
            </w:r>
          </w:p>
          <w:p w14:paraId="2BD734C9" w14:textId="6DBE3F3A" w:rsidR="00F23771" w:rsidRDefault="00F23771" w:rsidP="00F23771">
            <w:pPr>
              <w:spacing w:after="120"/>
            </w:pPr>
            <w:r>
              <w:t>In allen anderen Bereichen sind die dort geltenden Regelungen zu beachten. In der Regel ist auch hier für die Vergabe der Zugriffsrechte ein schriftlicher Antrag erforderlich. Bei der Vergabe von Zugriffsrechten ist die Funktionstrennung zu beachten.</w:t>
            </w:r>
          </w:p>
        </w:tc>
        <w:tc>
          <w:tcPr>
            <w:tcW w:w="0" w:type="auto"/>
            <w:gridSpan w:val="2"/>
          </w:tcPr>
          <w:p w14:paraId="02F287FB" w14:textId="3BB8E796" w:rsidR="00F6611E" w:rsidRDefault="00F6611E" w:rsidP="00F6611E">
            <w:pPr>
              <w:spacing w:after="120"/>
            </w:pPr>
            <w:r>
              <w:t>Verantwortlich für die Initiierung: CIO, Bereichsleitung</w:t>
            </w:r>
            <w:r>
              <w:br/>
              <w:t>Verantwortlich für die Umsetzung: IT-Personal, IT-</w:t>
            </w:r>
            <w:r w:rsidR="008F2531">
              <w:t>Nutzerinnen und -Nutzer</w:t>
            </w:r>
          </w:p>
          <w:p w14:paraId="7A10BF1C" w14:textId="77777777" w:rsidR="00F23771" w:rsidRDefault="00F23771" w:rsidP="00F23771">
            <w:pPr>
              <w:spacing w:after="120"/>
            </w:pPr>
          </w:p>
        </w:tc>
      </w:tr>
      <w:tr w:rsidR="00F23771" w14:paraId="7539E0B4" w14:textId="77777777" w:rsidTr="00962683">
        <w:tc>
          <w:tcPr>
            <w:tcW w:w="5670" w:type="dxa"/>
          </w:tcPr>
          <w:p w14:paraId="51879DCD" w14:textId="1FC21240" w:rsidR="00F23771" w:rsidRDefault="00F23771" w:rsidP="00F23771">
            <w:pPr>
              <w:pStyle w:val="berschrift3"/>
              <w:numPr>
                <w:ilvl w:val="1"/>
                <w:numId w:val="1"/>
              </w:numPr>
              <w:spacing w:after="120"/>
              <w:outlineLvl w:val="2"/>
            </w:pPr>
            <w:bookmarkStart w:id="25" w:name="_Ref12009783"/>
            <w:bookmarkStart w:id="26" w:name="_Toc12439633"/>
            <w:bookmarkStart w:id="27" w:name="_Toc17278440"/>
            <w:r>
              <w:t>Virenschutz</w:t>
            </w:r>
            <w:bookmarkEnd w:id="25"/>
            <w:bookmarkEnd w:id="26"/>
            <w:bookmarkEnd w:id="27"/>
          </w:p>
          <w:p w14:paraId="1EA4CE78" w14:textId="44764F18" w:rsidR="00F23771" w:rsidRDefault="00F23771" w:rsidP="00F23771">
            <w:pPr>
              <w:spacing w:after="120"/>
            </w:pPr>
            <w:r>
              <w:t>Auf allen Arbeitsplatzrechnern und mobilen Geräten, ist, soweit technisch möglich, ein aktueller Virenscanner einzurichten, der automatisch alle eingehenden und zu öffnenden Dateien überprüft. Damit soll bereits das Eindringen von schädlichen Programmen erkannt und verhindert werden.</w:t>
            </w:r>
          </w:p>
        </w:tc>
        <w:tc>
          <w:tcPr>
            <w:tcW w:w="0" w:type="auto"/>
            <w:gridSpan w:val="2"/>
          </w:tcPr>
          <w:p w14:paraId="5FD0706D" w14:textId="67BCE214" w:rsidR="00F6611E" w:rsidRDefault="00F6611E" w:rsidP="00F6611E">
            <w:pPr>
              <w:spacing w:after="120"/>
            </w:pPr>
            <w:r>
              <w:t>Verantwortlich für die Initiierung: CIO, Bereichsleitung</w:t>
            </w:r>
            <w:r>
              <w:br/>
              <w:t>Verantwortlich für die Umsetzung: IT-Personal</w:t>
            </w:r>
          </w:p>
          <w:p w14:paraId="3391A37E" w14:textId="77777777" w:rsidR="00F23771" w:rsidRDefault="00F23771" w:rsidP="00F23771">
            <w:pPr>
              <w:spacing w:after="120"/>
            </w:pPr>
          </w:p>
        </w:tc>
      </w:tr>
      <w:tr w:rsidR="00F23771" w14:paraId="3163D365" w14:textId="77777777" w:rsidTr="00962683">
        <w:tc>
          <w:tcPr>
            <w:tcW w:w="5670" w:type="dxa"/>
          </w:tcPr>
          <w:p w14:paraId="011FA609" w14:textId="5DBC02AE" w:rsidR="00F23771" w:rsidRDefault="00F23771" w:rsidP="00F23771">
            <w:pPr>
              <w:pStyle w:val="berschrift3"/>
              <w:numPr>
                <w:ilvl w:val="1"/>
                <w:numId w:val="1"/>
              </w:numPr>
              <w:spacing w:after="120"/>
              <w:outlineLvl w:val="2"/>
            </w:pPr>
            <w:bookmarkStart w:id="28" w:name="_Toc12439634"/>
            <w:bookmarkStart w:id="29" w:name="_Toc17278441"/>
            <w:r>
              <w:lastRenderedPageBreak/>
              <w:t>Konsequenzen bei Sicherheitsverstößen</w:t>
            </w:r>
            <w:bookmarkEnd w:id="28"/>
            <w:bookmarkEnd w:id="29"/>
          </w:p>
          <w:p w14:paraId="36314DDC" w14:textId="67924C07" w:rsidR="00F23771" w:rsidRPr="00D9293D" w:rsidRDefault="00F23771" w:rsidP="00F23771">
            <w:pPr>
              <w:spacing w:after="120"/>
            </w:pPr>
            <w:r w:rsidRPr="00D9293D">
              <w:t>Die IT-Infrastruktur ist im zugelassenen Rahmen so zu nutzen, dass nicht gegen die an der Universität geltenden IT-Sicherheitsvorgaben verstoßen wird</w:t>
            </w:r>
            <w:r w:rsidR="00CA1BFA">
              <w:t xml:space="preserve">, welche in dieser Richtlinie, der Benutzungsordnung des URMZ sowie in den sie ergänzenden Durchführungsbestimmungen und </w:t>
            </w:r>
            <w:r w:rsidR="00CA1BFA" w:rsidRPr="00CA1BFA">
              <w:t>weitere</w:t>
            </w:r>
            <w:r w:rsidR="00CA1BFA">
              <w:t xml:space="preserve">n, vom Leiter des URMZ auf der Grundlage der Benutzungsordnung oder vom Kanzler als CIO erlassenen Regeln </w:t>
            </w:r>
            <w:r w:rsidR="00CA1BFA" w:rsidRPr="00CA1BFA">
              <w:t>fü</w:t>
            </w:r>
            <w:r w:rsidR="00CA1BFA">
              <w:t>r    die    Nutzung    der    Datenverarbeitungs</w:t>
            </w:r>
            <w:r w:rsidR="00CA1BFA" w:rsidRPr="00CA1BFA">
              <w:t>-Anlagen</w:t>
            </w:r>
            <w:r w:rsidR="00CA1BFA">
              <w:t xml:space="preserve"> der Universität geregelt sind</w:t>
            </w:r>
            <w:r w:rsidRPr="00D9293D">
              <w:t>.</w:t>
            </w:r>
          </w:p>
          <w:p w14:paraId="1C84B94E" w14:textId="77777777" w:rsidR="00F23771" w:rsidRPr="002D7EE5" w:rsidRDefault="00F23771" w:rsidP="00F23771">
            <w:pPr>
              <w:spacing w:after="120"/>
            </w:pPr>
            <w:r w:rsidRPr="002D7EE5">
              <w:t xml:space="preserve">IT-Sicherheitsverstöße können z.B. dazu führen, dass </w:t>
            </w:r>
          </w:p>
          <w:p w14:paraId="2AC5B61C" w14:textId="77777777" w:rsidR="00F23771" w:rsidRPr="002D7EE5" w:rsidRDefault="00F23771" w:rsidP="00F23771">
            <w:pPr>
              <w:pStyle w:val="Listenabsatz"/>
              <w:numPr>
                <w:ilvl w:val="0"/>
                <w:numId w:val="16"/>
              </w:numPr>
              <w:spacing w:after="120" w:line="252" w:lineRule="auto"/>
              <w:ind w:left="357" w:hanging="357"/>
            </w:pPr>
            <w:r w:rsidRPr="002D7EE5">
              <w:t>die Sicherheit der Mitarbeiter*innen, Nutzer*innen, Vertragspartner*innen sowie des Vermögens der Universität Erfurt in erheblichem Umfang beeinträchtigt wird,</w:t>
            </w:r>
          </w:p>
          <w:p w14:paraId="7DE822AA" w14:textId="77777777" w:rsidR="00F23771" w:rsidRPr="002D7EE5" w:rsidRDefault="00F23771" w:rsidP="00F23771">
            <w:pPr>
              <w:pStyle w:val="Listenabsatz"/>
              <w:numPr>
                <w:ilvl w:val="0"/>
                <w:numId w:val="16"/>
              </w:numPr>
              <w:spacing w:after="120" w:line="252" w:lineRule="auto"/>
              <w:ind w:left="357" w:hanging="357"/>
            </w:pPr>
            <w:r w:rsidRPr="002D7EE5">
              <w:t>durch Kompromittierung der Sicherheit von Daten oder Geschäftsinformationen die Universität Erfurt erheblichen finanziellen Verlust erleidet,</w:t>
            </w:r>
          </w:p>
          <w:p w14:paraId="4D86D36F" w14:textId="77777777" w:rsidR="00F23771" w:rsidRPr="002D7EE5" w:rsidRDefault="00F23771" w:rsidP="00F23771">
            <w:pPr>
              <w:pStyle w:val="Listenabsatz"/>
              <w:numPr>
                <w:ilvl w:val="0"/>
                <w:numId w:val="16"/>
              </w:numPr>
              <w:spacing w:after="120" w:line="252" w:lineRule="auto"/>
              <w:ind w:left="357" w:hanging="357"/>
            </w:pPr>
            <w:r w:rsidRPr="002D7EE5">
              <w:t>der</w:t>
            </w:r>
            <w:r>
              <w:t xml:space="preserve"> unberechtigte</w:t>
            </w:r>
            <w:r w:rsidRPr="002D7EE5">
              <w:t xml:space="preserve"> Zugriff auf Systeme und Informationen zu deren unerwünschter Preisgabe und/oder Änderung führt,</w:t>
            </w:r>
          </w:p>
          <w:p w14:paraId="486A36F2" w14:textId="77777777" w:rsidR="00F23771" w:rsidRPr="002D7EE5" w:rsidRDefault="00F23771" w:rsidP="00F23771">
            <w:pPr>
              <w:pStyle w:val="Listenabsatz"/>
              <w:numPr>
                <w:ilvl w:val="0"/>
                <w:numId w:val="16"/>
              </w:numPr>
              <w:spacing w:after="120" w:line="252" w:lineRule="auto"/>
              <w:ind w:left="357" w:hanging="357"/>
            </w:pPr>
            <w:r w:rsidRPr="002D7EE5">
              <w:t>die Informationstechnik der Universität Erfurt für illegale Zwecke genutzt wird oder</w:t>
            </w:r>
          </w:p>
          <w:p w14:paraId="2DCAB1CA" w14:textId="77777777" w:rsidR="00F23771" w:rsidRDefault="00F23771" w:rsidP="00F23771">
            <w:pPr>
              <w:pStyle w:val="Listenabsatz"/>
              <w:numPr>
                <w:ilvl w:val="0"/>
                <w:numId w:val="16"/>
              </w:numPr>
              <w:spacing w:after="120" w:line="252" w:lineRule="auto"/>
              <w:ind w:left="357" w:hanging="357"/>
            </w:pPr>
            <w:r w:rsidRPr="002D7EE5">
              <w:t>der unbefugte Zugriff auf personenbezogene Daten ermöglicht wird.</w:t>
            </w:r>
          </w:p>
          <w:p w14:paraId="54135DFC" w14:textId="3ACC9D10" w:rsidR="00F23771" w:rsidRDefault="00F23771" w:rsidP="00F23771">
            <w:pPr>
              <w:spacing w:after="120"/>
            </w:pPr>
            <w:r>
              <w:t>Verst</w:t>
            </w:r>
            <w:r w:rsidR="008D1CA9">
              <w:t>öße gegen IT-Sicherheitsvorgaben</w:t>
            </w:r>
            <w:r>
              <w:t xml:space="preserve"> werden nach den geltenden rechtlichen Bestimmungen geahndet. Auf folgende Vorschriften des Strafgesetzbuchs (StGB) und des Thüringer Datenschutzgesetzes (ThürDSG) wird in diesem Zusammenhang besonders hingewiesen:</w:t>
            </w:r>
          </w:p>
          <w:p w14:paraId="060970F4" w14:textId="77777777" w:rsidR="00F23771" w:rsidRDefault="00F23771" w:rsidP="00F23771">
            <w:pPr>
              <w:pStyle w:val="Listenabsatz"/>
              <w:numPr>
                <w:ilvl w:val="0"/>
                <w:numId w:val="10"/>
              </w:numPr>
              <w:spacing w:after="120"/>
              <w:ind w:left="357" w:hanging="357"/>
            </w:pPr>
            <w:r>
              <w:t>Ausspähen von Daten (§ 202a StGB)</w:t>
            </w:r>
          </w:p>
          <w:p w14:paraId="333F0367" w14:textId="77777777" w:rsidR="00F23771" w:rsidRDefault="00F23771" w:rsidP="00F23771">
            <w:pPr>
              <w:pStyle w:val="Listenabsatz"/>
              <w:numPr>
                <w:ilvl w:val="0"/>
                <w:numId w:val="10"/>
              </w:numPr>
              <w:spacing w:after="120"/>
              <w:ind w:left="357" w:hanging="357"/>
            </w:pPr>
            <w:r>
              <w:t>Verletzung von Privatgeheimnissen (§ 203 StGB)</w:t>
            </w:r>
          </w:p>
          <w:p w14:paraId="13725A31" w14:textId="77777777" w:rsidR="00F23771" w:rsidRDefault="00F23771" w:rsidP="00F23771">
            <w:pPr>
              <w:pStyle w:val="Listenabsatz"/>
              <w:numPr>
                <w:ilvl w:val="0"/>
                <w:numId w:val="10"/>
              </w:numPr>
              <w:spacing w:after="120"/>
              <w:ind w:left="357" w:hanging="357"/>
            </w:pPr>
            <w:r>
              <w:t>Verletzung des Post- oder Fernmeldegeheimnisses (§ 206 StGB)</w:t>
            </w:r>
          </w:p>
          <w:p w14:paraId="24FAC020" w14:textId="77777777" w:rsidR="00F23771" w:rsidRDefault="00F23771" w:rsidP="00F23771">
            <w:pPr>
              <w:pStyle w:val="Listenabsatz"/>
              <w:numPr>
                <w:ilvl w:val="0"/>
                <w:numId w:val="10"/>
              </w:numPr>
              <w:spacing w:after="120"/>
              <w:ind w:left="357" w:hanging="357"/>
            </w:pPr>
            <w:r>
              <w:t>Datenveränderung (§ 303a StGB) und Computersabotage (§ 303b StGB)</w:t>
            </w:r>
          </w:p>
          <w:p w14:paraId="42A9598D" w14:textId="77777777" w:rsidR="00F23771" w:rsidRDefault="00F23771" w:rsidP="00F23771">
            <w:pPr>
              <w:pStyle w:val="Listenabsatz"/>
              <w:numPr>
                <w:ilvl w:val="0"/>
                <w:numId w:val="10"/>
              </w:numPr>
              <w:spacing w:after="120"/>
              <w:ind w:left="357" w:hanging="357"/>
            </w:pPr>
            <w:r>
              <w:t>Ordnungswidrigkeiten und Strafbestimmungen (§ 61 ThürDSG)</w:t>
            </w:r>
          </w:p>
          <w:p w14:paraId="0A4563EB" w14:textId="6CE4CD23" w:rsidR="002E28FC" w:rsidRDefault="002E28FC" w:rsidP="00326A93">
            <w:pPr>
              <w:spacing w:after="120"/>
              <w:contextualSpacing/>
            </w:pPr>
            <w:r>
              <w:t>Darüber hinaus können IT-Sicherheitsverstöße dienst- oder arbeitsrechtliche Konsequenzen nach sich ziehen.</w:t>
            </w:r>
          </w:p>
          <w:p w14:paraId="382040BC" w14:textId="6035C7F8" w:rsidR="00F23771" w:rsidRDefault="00F23771" w:rsidP="00F23771">
            <w:pPr>
              <w:spacing w:after="120"/>
            </w:pPr>
            <w:r w:rsidRPr="00E473C8">
              <w:t>Zur Gefahrenintervention können vom URMZ Netzzugänge oder Benutzerkonten vorübergehend deaktiviert werden.</w:t>
            </w:r>
          </w:p>
        </w:tc>
        <w:tc>
          <w:tcPr>
            <w:tcW w:w="0" w:type="auto"/>
            <w:gridSpan w:val="2"/>
          </w:tcPr>
          <w:p w14:paraId="450D2D43" w14:textId="7B25DED8" w:rsidR="00F6611E" w:rsidRDefault="00F6611E" w:rsidP="00F23771">
            <w:pPr>
              <w:spacing w:after="120"/>
            </w:pPr>
            <w:r>
              <w:t>Verantwortlich für die Initiierung: IT-Sicherheitsbeauftragter</w:t>
            </w:r>
            <w:r>
              <w:br/>
              <w:t>Verantwortlich für die Umsetzung: Universitätsleitung</w:t>
            </w:r>
          </w:p>
          <w:p w14:paraId="76E2ECEA" w14:textId="77777777" w:rsidR="00F6611E" w:rsidRDefault="00F6611E" w:rsidP="00F23771">
            <w:pPr>
              <w:spacing w:after="120"/>
            </w:pPr>
          </w:p>
          <w:p w14:paraId="48604C81" w14:textId="1D5AF246" w:rsidR="00F23771" w:rsidRDefault="00F23771" w:rsidP="00F23771">
            <w:pPr>
              <w:spacing w:after="120"/>
            </w:pPr>
            <w:r>
              <w:t xml:space="preserve">Die Benutzungsordnung des Universitätsrechen- und Medienzentrums der Universität Erfurt finden Sie im Internet unter </w:t>
            </w:r>
            <w:hyperlink r:id="rId11" w:history="1">
              <w:r w:rsidRPr="00764CB5">
                <w:rPr>
                  <w:rStyle w:val="Hyperlink"/>
                </w:rPr>
                <w:t>https://www.uni-erfurt.de/fileadmin/public-docs/Hochschulrecht/Satzungsrecht_UE/Benutzungs-O/Benutzerordnung_URMZ.pdf</w:t>
              </w:r>
            </w:hyperlink>
          </w:p>
        </w:tc>
      </w:tr>
      <w:tr w:rsidR="00F23771" w14:paraId="611CDA63" w14:textId="77777777" w:rsidTr="00962683">
        <w:tc>
          <w:tcPr>
            <w:tcW w:w="5670" w:type="dxa"/>
          </w:tcPr>
          <w:p w14:paraId="73CED192" w14:textId="316516AC" w:rsidR="00F23771" w:rsidRDefault="00F23771" w:rsidP="00F23771">
            <w:pPr>
              <w:pStyle w:val="berschrift2"/>
              <w:numPr>
                <w:ilvl w:val="0"/>
                <w:numId w:val="1"/>
              </w:numPr>
              <w:outlineLvl w:val="1"/>
            </w:pPr>
            <w:bookmarkStart w:id="30" w:name="_Ref11419814"/>
            <w:bookmarkStart w:id="31" w:name="_Toc12439635"/>
            <w:bookmarkStart w:id="32" w:name="_Toc17278442"/>
            <w:r>
              <w:lastRenderedPageBreak/>
              <w:t>Pflichten der IT-Nutzerinnen und IT-Nutzer</w:t>
            </w:r>
            <w:bookmarkEnd w:id="30"/>
            <w:bookmarkEnd w:id="31"/>
            <w:bookmarkEnd w:id="32"/>
          </w:p>
          <w:p w14:paraId="604AC8C5" w14:textId="5F1534E1" w:rsidR="00F23771" w:rsidRDefault="00F23771" w:rsidP="00F23771">
            <w:pPr>
              <w:pStyle w:val="berschrift3"/>
              <w:numPr>
                <w:ilvl w:val="1"/>
                <w:numId w:val="1"/>
              </w:numPr>
              <w:spacing w:after="120"/>
              <w:outlineLvl w:val="2"/>
            </w:pPr>
            <w:bookmarkStart w:id="33" w:name="_Toc12439636"/>
            <w:bookmarkStart w:id="34" w:name="_Toc17278443"/>
            <w:r>
              <w:t>Sicherung der IT-Infrastruktur</w:t>
            </w:r>
            <w:bookmarkEnd w:id="33"/>
            <w:bookmarkEnd w:id="34"/>
          </w:p>
          <w:p w14:paraId="30051BCA" w14:textId="77777777" w:rsidR="00F23771" w:rsidRPr="00D75C1C" w:rsidRDefault="00F23771" w:rsidP="00F23771">
            <w:pPr>
              <w:spacing w:after="120"/>
            </w:pPr>
            <w:r w:rsidRPr="00D75C1C">
              <w:rPr>
                <w:rFonts w:cstheme="minorHAnsi"/>
              </w:rPr>
              <w:t xml:space="preserve">Die IT-Nutzerinnen und -Nutzer haben innerhalb ihres Aufgabenbereichs dafür Sorge zu tragen, dass unbefugter Zugang zur IT-Infrastruktur der Universität Erfurt und die unbefugte Nutzung verhindert werden. </w:t>
            </w:r>
          </w:p>
          <w:p w14:paraId="7E19D065" w14:textId="485E7EE5" w:rsidR="00F23771" w:rsidRDefault="00F23771" w:rsidP="00F23771">
            <w:pPr>
              <w:spacing w:after="120"/>
            </w:pPr>
            <w:r w:rsidRPr="00D75C1C">
              <w:rPr>
                <w:rFonts w:cstheme="minorHAnsi"/>
              </w:rPr>
              <w:t>Büroräume sind beim Verlassen zu verschließen, Bildschirme zu sperren,</w:t>
            </w:r>
            <w:r w:rsidRPr="00D75C1C">
              <w:t xml:space="preserve"> A</w:t>
            </w:r>
            <w:r w:rsidRPr="00D75C1C">
              <w:rPr>
                <w:rFonts w:cstheme="minorHAnsi"/>
              </w:rPr>
              <w:t>rbeitsplatzrechner und mobile Geräte nach Dienstschluss auszuschalten. Bei längerer Abwesenheit sollen leicht zu transportierende Geräte in Schränken verschlossen aufbewahrt oder durch andere geeignete Maßnahmen (z.B. Schlösser zur Sicherung mobiler Endgeräte) vor Diebstahl gesichert werden.</w:t>
            </w:r>
            <w:r w:rsidRPr="00D75C1C">
              <w:t xml:space="preserve"> Bei der Anordnung und Verwendung der Geräte ist darauf zu achten, dass schützenswerte Daten nicht von Unbefugten eingesehen werden können. Beim Ausdrucken oder Faxempfang derartiger Daten muss das Entnehmen der Ausdrucke durch Unbefugte verhindert werden.</w:t>
            </w:r>
          </w:p>
        </w:tc>
        <w:tc>
          <w:tcPr>
            <w:tcW w:w="0" w:type="auto"/>
            <w:gridSpan w:val="2"/>
          </w:tcPr>
          <w:p w14:paraId="54B874B9" w14:textId="3F5D5D69" w:rsidR="00F23771" w:rsidRDefault="00F23771" w:rsidP="00F23771">
            <w:pPr>
              <w:spacing w:after="120"/>
            </w:pPr>
            <w:r>
              <w:t>Abschnitt 5 dieser Richtlinie umfasst solche Regelungen, deren Einhaltung von jeder IT-Nutzerin und jedem IT-Nutzer unmittelbar selbst verantwortet wird.</w:t>
            </w:r>
          </w:p>
          <w:p w14:paraId="30B1995D" w14:textId="373CA1F5" w:rsidR="00F23771" w:rsidRDefault="00F23771" w:rsidP="00F23771">
            <w:pPr>
              <w:spacing w:after="120"/>
            </w:pPr>
          </w:p>
          <w:p w14:paraId="4C227E69" w14:textId="1ABAD527" w:rsidR="00F6611E" w:rsidRDefault="00F6611E" w:rsidP="00F6611E">
            <w:pPr>
              <w:spacing w:after="120"/>
            </w:pPr>
            <w:r>
              <w:t>Verantwortlich für die Initiierung: CIO, Bereichsleitung</w:t>
            </w:r>
            <w:r>
              <w:br/>
              <w:t>Verantwortlich für die Umsetzung: IT-</w:t>
            </w:r>
            <w:r w:rsidR="008F2531">
              <w:t>Nutzerinnen und -Nutzer</w:t>
            </w:r>
          </w:p>
          <w:p w14:paraId="2C1E0201" w14:textId="77777777" w:rsidR="00F6611E" w:rsidRDefault="00F6611E" w:rsidP="00F23771">
            <w:pPr>
              <w:spacing w:after="120"/>
            </w:pPr>
          </w:p>
          <w:p w14:paraId="3F5CAB1A" w14:textId="72606898" w:rsidR="00F23771" w:rsidRDefault="00F23771" w:rsidP="00F23771">
            <w:pPr>
              <w:spacing w:after="120"/>
            </w:pPr>
            <w:r>
              <w:t>Geeignete</w:t>
            </w:r>
            <w:r w:rsidRPr="00497C35">
              <w:t xml:space="preserve"> Schlö</w:t>
            </w:r>
            <w:r>
              <w:t>sser zur Sicherung mobiler End</w:t>
            </w:r>
            <w:r w:rsidRPr="00497C35">
              <w:t>geräte</w:t>
            </w:r>
            <w:r>
              <w:t xml:space="preserve"> sind beispielsweise Kensington-Schlösser; Sie können Sie beim IT-Personal des URMZ erhalten.</w:t>
            </w:r>
          </w:p>
        </w:tc>
      </w:tr>
      <w:tr w:rsidR="00F23771" w14:paraId="37560BD5" w14:textId="77777777" w:rsidTr="00962683">
        <w:tc>
          <w:tcPr>
            <w:tcW w:w="5670" w:type="dxa"/>
          </w:tcPr>
          <w:p w14:paraId="0B98FA5A" w14:textId="60CEBFD2" w:rsidR="00F23771" w:rsidRDefault="00F23771" w:rsidP="00F23771">
            <w:pPr>
              <w:pStyle w:val="berschrift3"/>
              <w:numPr>
                <w:ilvl w:val="1"/>
                <w:numId w:val="1"/>
              </w:numPr>
              <w:spacing w:after="120"/>
              <w:outlineLvl w:val="2"/>
            </w:pPr>
            <w:bookmarkStart w:id="35" w:name="_Toc12439637"/>
            <w:bookmarkStart w:id="36" w:name="_Toc17278444"/>
            <w:r>
              <w:t>Nutzung und Sicherung mobiler dienstlicher Geräte</w:t>
            </w:r>
            <w:bookmarkEnd w:id="35"/>
            <w:bookmarkEnd w:id="36"/>
          </w:p>
          <w:p w14:paraId="06C8F882" w14:textId="05722880" w:rsidR="00F23771" w:rsidRDefault="00F23771" w:rsidP="00F23771">
            <w:pPr>
              <w:spacing w:after="120"/>
            </w:pPr>
            <w:r w:rsidRPr="007A1FB8">
              <w:t xml:space="preserve">Bei der Nutzung mobiler dienstlicher </w:t>
            </w:r>
            <w:r>
              <w:t xml:space="preserve">Geräte sind von den IT-Nutzerinnen und -Nutzern </w:t>
            </w:r>
            <w:r w:rsidRPr="007A1FB8">
              <w:t xml:space="preserve">die vom URMZ </w:t>
            </w:r>
            <w:r>
              <w:t xml:space="preserve">erteilten Hinweise zum Umgang mit mobilen Geräten zu beachten. Die mobilen Geräte sind durch geeignete Maßnahmen (Kennwort-Schutz, nur Einsatz legitimierter Software (siehe </w:t>
            </w:r>
            <w:r>
              <w:fldChar w:fldCharType="begin"/>
            </w:r>
            <w:r>
              <w:instrText xml:space="preserve"> REF _Ref11850976 \r \h </w:instrText>
            </w:r>
            <w:r>
              <w:fldChar w:fldCharType="separate"/>
            </w:r>
            <w:r w:rsidR="00DE5BF4">
              <w:t>5.4</w:t>
            </w:r>
            <w:r>
              <w:fldChar w:fldCharType="end"/>
            </w:r>
            <w:r>
              <w:t>), regelmäßige Updates, keine Verwendung von nichtlegitimierten externen Cloud-Diensten, etc.) entsprechend zu schützen. Die weiteren unter Ziffer 5 getroffenen Regelunge (insbesondere zum Schutz durch Kennwörter usw.) sind entsprechend zu beachten. Sofern die jeweilige Applikation eigene Schutzmechanismen anbietet (Verschlüsselung, Kennwörter, etc.) sind diese zu verwenden.</w:t>
            </w:r>
          </w:p>
          <w:p w14:paraId="66F25456" w14:textId="77777777" w:rsidR="00F23771" w:rsidRDefault="00F23771" w:rsidP="00F23771">
            <w:pPr>
              <w:spacing w:after="120"/>
            </w:pPr>
            <w:r>
              <w:t>Bei der Speicherung von schützenswerten Daten auf mobilen Geräten (Smartphones, Tablets, Notebooks, usw.) sind besondere Vorkehrungen zum Schutz der Daten zu treffen.</w:t>
            </w:r>
          </w:p>
          <w:p w14:paraId="19F5912E" w14:textId="78EF1858" w:rsidR="00F23771" w:rsidRDefault="00F23771" w:rsidP="00F23771">
            <w:pPr>
              <w:spacing w:after="120"/>
            </w:pPr>
            <w:r>
              <w:t>Mobile Geräte sind möglichst verschlossen aufzubewahren. Auf regelmäßige Datensicherung ist besonderer Wert zu legen.</w:t>
            </w:r>
          </w:p>
        </w:tc>
        <w:tc>
          <w:tcPr>
            <w:tcW w:w="0" w:type="auto"/>
            <w:gridSpan w:val="2"/>
          </w:tcPr>
          <w:p w14:paraId="3EFACB67" w14:textId="0C9003BA" w:rsidR="00F6611E" w:rsidRDefault="00F6611E" w:rsidP="00F6611E">
            <w:pPr>
              <w:spacing w:after="120"/>
            </w:pPr>
            <w:r>
              <w:t>Verantwortlich für die Initiierung: CIO, Bereichsleitung</w:t>
            </w:r>
            <w:r>
              <w:br/>
              <w:t>Verantwortlich für die Umsetzung: IT-</w:t>
            </w:r>
            <w:r w:rsidR="008F2531">
              <w:t>Nutzerinnen und -Nutzer</w:t>
            </w:r>
          </w:p>
          <w:p w14:paraId="2069D764" w14:textId="77777777" w:rsidR="00F6611E" w:rsidRDefault="00F6611E" w:rsidP="00F23771">
            <w:pPr>
              <w:spacing w:after="120"/>
            </w:pPr>
          </w:p>
          <w:p w14:paraId="7CCF49FB" w14:textId="728B0CDA" w:rsidR="00F23771" w:rsidRDefault="00F23771" w:rsidP="003C7444">
            <w:pPr>
              <w:spacing w:after="120"/>
            </w:pPr>
            <w:r>
              <w:t xml:space="preserve">Hinweise zur Datensicherung finden Sie auf den Webseiten der Universität Erfurt unter </w:t>
            </w:r>
            <w:hyperlink r:id="rId12" w:history="1">
              <w:r w:rsidRPr="00764CB5">
                <w:rPr>
                  <w:rStyle w:val="Hyperlink"/>
                </w:rPr>
                <w:t>https://www.uni-erfurt.de/computerhilfe/windows-10/tipps/datensicherung-mit-dateiversionsverlauf/</w:t>
              </w:r>
            </w:hyperlink>
          </w:p>
        </w:tc>
      </w:tr>
      <w:tr w:rsidR="00F23771" w14:paraId="38F00C80" w14:textId="77777777" w:rsidTr="00962683">
        <w:tc>
          <w:tcPr>
            <w:tcW w:w="5670" w:type="dxa"/>
          </w:tcPr>
          <w:p w14:paraId="2C2BC0C4" w14:textId="56A89921" w:rsidR="00F23771" w:rsidRDefault="00F23771" w:rsidP="00F23771">
            <w:pPr>
              <w:pStyle w:val="berschrift3"/>
              <w:numPr>
                <w:ilvl w:val="1"/>
                <w:numId w:val="1"/>
              </w:numPr>
              <w:spacing w:after="120"/>
              <w:outlineLvl w:val="2"/>
            </w:pPr>
            <w:bookmarkStart w:id="37" w:name="_Toc12439638"/>
            <w:bookmarkStart w:id="38" w:name="_Toc17278445"/>
            <w:r>
              <w:lastRenderedPageBreak/>
              <w:t>Telearbeit</w:t>
            </w:r>
            <w:bookmarkEnd w:id="37"/>
            <w:bookmarkEnd w:id="38"/>
          </w:p>
          <w:p w14:paraId="252E61E3" w14:textId="2A2FE460" w:rsidR="00F23771" w:rsidRDefault="00F23771" w:rsidP="00F23771">
            <w:pPr>
              <w:spacing w:after="120"/>
            </w:pPr>
            <w:r>
              <w:t xml:space="preserve">Bei der Telearbeit verlassen Daten den räumlich eingegrenzten Bereich der datenverarbeitenden Stelle. Die telearbeitenden IT-Nutzerinnen und -Nutzer haben die entsprechenden Vereinbarungen zum Schutz der bearbeiteten Daten und verwendeten Systeme einzuhalten (IT-Sicherheits- und Datenschutzrichtlinie für Telearbeitsplätze an der Universität Erfurt).  </w:t>
            </w:r>
          </w:p>
        </w:tc>
        <w:tc>
          <w:tcPr>
            <w:tcW w:w="0" w:type="auto"/>
            <w:gridSpan w:val="2"/>
          </w:tcPr>
          <w:p w14:paraId="3D5A959D" w14:textId="0BEB9FC9" w:rsidR="00F6611E" w:rsidRDefault="00F6611E" w:rsidP="00F6611E">
            <w:pPr>
              <w:spacing w:after="120"/>
            </w:pPr>
            <w:r>
              <w:t>Verantwortlich für die Initiierung: Bereichsleitung</w:t>
            </w:r>
            <w:r>
              <w:br/>
              <w:t xml:space="preserve">Verantwortlich für die Umsetzung: </w:t>
            </w:r>
            <w:r w:rsidR="008F2531">
              <w:t>IT-Nutzerinnen und -Nutzer</w:t>
            </w:r>
          </w:p>
          <w:p w14:paraId="02E4818B" w14:textId="77777777" w:rsidR="00F6611E" w:rsidRDefault="00F6611E" w:rsidP="00F23771">
            <w:pPr>
              <w:spacing w:after="120"/>
            </w:pPr>
          </w:p>
          <w:p w14:paraId="7F6DF8D5" w14:textId="5FBA232E" w:rsidR="00F23771" w:rsidRDefault="00F23771" w:rsidP="00F23771">
            <w:pPr>
              <w:spacing w:after="120"/>
            </w:pPr>
            <w:r>
              <w:t xml:space="preserve">Hinweise zu IT-Sicherheit und Datenschutz bei der Telearbeit finden Sie auf den Webseiten der Universität Erfurt unter </w:t>
            </w:r>
            <w:hyperlink r:id="rId13" w:history="1">
              <w:r w:rsidRPr="00932A71">
                <w:rPr>
                  <w:rStyle w:val="Hyperlink"/>
                </w:rPr>
                <w:t>https://www.uni-erfurt.de/datenschutz/datenschutz-im-bueroalltag/telearbeit/</w:t>
              </w:r>
            </w:hyperlink>
            <w:r>
              <w:t xml:space="preserve"> </w:t>
            </w:r>
          </w:p>
        </w:tc>
      </w:tr>
      <w:tr w:rsidR="00F23771" w14:paraId="5355FDAE" w14:textId="77777777" w:rsidTr="00962683">
        <w:tc>
          <w:tcPr>
            <w:tcW w:w="5670" w:type="dxa"/>
          </w:tcPr>
          <w:p w14:paraId="212357FD" w14:textId="0D2FC167" w:rsidR="00F23771" w:rsidRDefault="00F23771" w:rsidP="00F23771">
            <w:pPr>
              <w:pStyle w:val="berschrift3"/>
              <w:numPr>
                <w:ilvl w:val="1"/>
                <w:numId w:val="1"/>
              </w:numPr>
              <w:spacing w:after="120"/>
              <w:outlineLvl w:val="2"/>
            </w:pPr>
            <w:bookmarkStart w:id="39" w:name="_Ref11850976"/>
            <w:bookmarkStart w:id="40" w:name="_Toc12439639"/>
            <w:bookmarkStart w:id="41" w:name="_Toc17278446"/>
            <w:r>
              <w:t>Kontrollierter Software-Einsatz</w:t>
            </w:r>
            <w:bookmarkEnd w:id="39"/>
            <w:bookmarkEnd w:id="40"/>
            <w:bookmarkEnd w:id="41"/>
          </w:p>
          <w:p w14:paraId="000A0A5E" w14:textId="5A892888" w:rsidR="00F23771" w:rsidRDefault="00F23771" w:rsidP="00F23771">
            <w:pPr>
              <w:spacing w:after="120"/>
            </w:pPr>
            <w:r>
              <w:t>Auf allen Rechnersystemen der Universität Erfurt darf zum Zweck des Schutzes von universitätseigener Hardware und dem Universitätsnetz nur Software installiert werden, die zur Erfüllung der dienstlichen Aufgaben erforderlich ist. Dies gilt insbesondere auch für nicht vom URMZ betreute Geräte (Selbstadministration). Im Zweifelsfall ist die Zustimmung der Bereichsleitung und des URMZ einzuholen.</w:t>
            </w:r>
          </w:p>
        </w:tc>
        <w:tc>
          <w:tcPr>
            <w:tcW w:w="0" w:type="auto"/>
            <w:gridSpan w:val="2"/>
          </w:tcPr>
          <w:p w14:paraId="77E6EEBC" w14:textId="695D91BF" w:rsidR="00F6611E" w:rsidRDefault="00F6611E" w:rsidP="00F6611E">
            <w:pPr>
              <w:spacing w:after="120"/>
            </w:pPr>
            <w:r>
              <w:t>Verantwortlich für die Initiierung: CIO, Bereichsleitung</w:t>
            </w:r>
            <w:r>
              <w:br/>
              <w:t xml:space="preserve">Verantwortlich für die Umsetzung: </w:t>
            </w:r>
            <w:r w:rsidR="008F2531">
              <w:t>IT-Nutzerinnen und -Nutzer</w:t>
            </w:r>
            <w:r>
              <w:t>, URMZ</w:t>
            </w:r>
          </w:p>
          <w:p w14:paraId="1C3C60B0" w14:textId="77777777" w:rsidR="00F23771" w:rsidRDefault="00F23771" w:rsidP="00F23771">
            <w:pPr>
              <w:spacing w:after="120"/>
            </w:pPr>
          </w:p>
        </w:tc>
      </w:tr>
      <w:tr w:rsidR="00F23771" w14:paraId="7F646BD0" w14:textId="77777777" w:rsidTr="00962683">
        <w:tc>
          <w:tcPr>
            <w:tcW w:w="5670" w:type="dxa"/>
          </w:tcPr>
          <w:p w14:paraId="2C3F5674" w14:textId="13350C2E" w:rsidR="00F23771" w:rsidRDefault="00F23771" w:rsidP="00F23771">
            <w:pPr>
              <w:pStyle w:val="berschrift3"/>
              <w:numPr>
                <w:ilvl w:val="1"/>
                <w:numId w:val="1"/>
              </w:numPr>
              <w:spacing w:after="120"/>
              <w:outlineLvl w:val="2"/>
            </w:pPr>
            <w:bookmarkStart w:id="42" w:name="_Toc12439640"/>
            <w:bookmarkStart w:id="43" w:name="_Toc17278447"/>
            <w:r>
              <w:t>Nutzung privater Hard- und Software</w:t>
            </w:r>
            <w:bookmarkEnd w:id="42"/>
            <w:bookmarkEnd w:id="43"/>
          </w:p>
          <w:p w14:paraId="14E473D7" w14:textId="6644E140" w:rsidR="00F23771" w:rsidRDefault="00F23771" w:rsidP="00F23771">
            <w:pPr>
              <w:spacing w:after="120"/>
            </w:pPr>
            <w:r>
              <w:t>Die Benutzung von privater Hard- und Software (Bring Your Own Device, BYOD) in Verbindung mit technischen Einrichtungen der Universität Erfurt und deren Netzen ist grundsätzlich nicht gestattet. Dies betrifft insbesondere auch die Speicherung dienstlicher Daten auf privaten Geräten.</w:t>
            </w:r>
          </w:p>
          <w:p w14:paraId="2C5EC393" w14:textId="77777777" w:rsidR="00CA1BFA" w:rsidRDefault="00CA1BFA" w:rsidP="00CA1BFA">
            <w:pPr>
              <w:spacing w:after="120"/>
            </w:pPr>
            <w:r>
              <w:t>Allgemeine Ausnahmen gelten für den Einsatz von privaten Computern für Lehrveranstaltungen und Vorträge sowie in speziell gekennzeichneten Bereichen, wie zum Beispiel in Bibliotheken oder in Studierendenarbeitsbereichen, und im Funknetz eduroam. Auch ist der Abruf dienstlicher Emails über private Geräte gestattet, wenn dies über Webmail erfolgt.</w:t>
            </w:r>
          </w:p>
          <w:p w14:paraId="3000708A" w14:textId="3D8D0A92" w:rsidR="00077BF9" w:rsidRDefault="00F23771" w:rsidP="00077BF9">
            <w:pPr>
              <w:spacing w:after="120"/>
            </w:pPr>
            <w:r>
              <w:t xml:space="preserve">Die Bereichsleitung kann </w:t>
            </w:r>
            <w:r w:rsidR="00077BF9">
              <w:t xml:space="preserve">weitere </w:t>
            </w:r>
            <w:r>
              <w:t xml:space="preserve">Ausnahmen in Abstimmung mit dem URMZ gestatten. </w:t>
            </w:r>
          </w:p>
        </w:tc>
        <w:tc>
          <w:tcPr>
            <w:tcW w:w="0" w:type="auto"/>
            <w:gridSpan w:val="2"/>
          </w:tcPr>
          <w:p w14:paraId="46AB0F0A" w14:textId="035ACBEC" w:rsidR="00F6611E" w:rsidRDefault="00F6611E" w:rsidP="00F6611E">
            <w:pPr>
              <w:spacing w:after="120"/>
            </w:pPr>
            <w:r>
              <w:t>Verantwortlich für die Initiierung: CIO, Bereichsleitung</w:t>
            </w:r>
            <w:r>
              <w:br/>
              <w:t xml:space="preserve">Verantwortlich für die Umsetzung: </w:t>
            </w:r>
            <w:r w:rsidR="008F2531">
              <w:t>IT-Nutzerinnen und -Nutzer</w:t>
            </w:r>
          </w:p>
          <w:p w14:paraId="1BEA1CED" w14:textId="77777777" w:rsidR="00F23771" w:rsidRDefault="00F23771" w:rsidP="00F23771">
            <w:pPr>
              <w:spacing w:after="120"/>
            </w:pPr>
          </w:p>
        </w:tc>
      </w:tr>
      <w:tr w:rsidR="00F23771" w14:paraId="4E405678" w14:textId="77777777" w:rsidTr="00962683">
        <w:tc>
          <w:tcPr>
            <w:tcW w:w="5670" w:type="dxa"/>
          </w:tcPr>
          <w:p w14:paraId="744F3DD3" w14:textId="71AE6850" w:rsidR="00F23771" w:rsidRDefault="00F23771" w:rsidP="00F23771">
            <w:pPr>
              <w:pStyle w:val="berschrift3"/>
              <w:numPr>
                <w:ilvl w:val="1"/>
                <w:numId w:val="1"/>
              </w:numPr>
              <w:spacing w:after="120"/>
              <w:outlineLvl w:val="2"/>
            </w:pPr>
            <w:bookmarkStart w:id="44" w:name="_Toc12439641"/>
            <w:bookmarkStart w:id="45" w:name="_Toc17278448"/>
            <w:r>
              <w:lastRenderedPageBreak/>
              <w:t>Virenschutz</w:t>
            </w:r>
            <w:bookmarkEnd w:id="44"/>
            <w:bookmarkEnd w:id="45"/>
          </w:p>
          <w:p w14:paraId="1F03CA1B" w14:textId="77777777" w:rsidR="00F23771" w:rsidRDefault="00F23771" w:rsidP="00F23771">
            <w:pPr>
              <w:spacing w:after="120"/>
            </w:pPr>
            <w:r>
              <w:t>Per E-Mail erhaltene Anhänge sind nur dann zu öffnen, wenn ihre Herkunft bekannt und Ungefährlichkeit wahrscheinlich ist.</w:t>
            </w:r>
          </w:p>
          <w:p w14:paraId="6F6D2A6C" w14:textId="206D7212" w:rsidR="00F23771" w:rsidRDefault="00F23771" w:rsidP="00F23771">
            <w:pPr>
              <w:spacing w:after="120"/>
            </w:pPr>
            <w:r>
              <w:t xml:space="preserve">Auch auf nicht vom </w:t>
            </w:r>
            <w:r w:rsidRPr="002C5F6F">
              <w:t>URMZ betreuten Geräten</w:t>
            </w:r>
            <w:r>
              <w:t xml:space="preserve"> (selbstadministrierten Geräten) ist</w:t>
            </w:r>
            <w:r w:rsidRPr="002C5F6F">
              <w:t>, soweit technisch möglich, ein aktueller Virenscanner einzurichten, der automatisch alle eingehenden und zu öffnenden Dateien überprüft.</w:t>
            </w:r>
          </w:p>
          <w:p w14:paraId="7F653FD0" w14:textId="631106BD" w:rsidR="00F23771" w:rsidRDefault="00F23771" w:rsidP="00F23771">
            <w:pPr>
              <w:spacing w:after="120"/>
            </w:pPr>
            <w:r>
              <w:t>Bei Verdacht auf Vireninfektion ist das zuständige IT-Personal zu informieren.</w:t>
            </w:r>
          </w:p>
        </w:tc>
        <w:tc>
          <w:tcPr>
            <w:tcW w:w="0" w:type="auto"/>
            <w:gridSpan w:val="2"/>
          </w:tcPr>
          <w:p w14:paraId="0854C5DF" w14:textId="4D4DC69E" w:rsidR="00F6611E" w:rsidRDefault="00F6611E" w:rsidP="00F6611E">
            <w:pPr>
              <w:spacing w:after="120"/>
            </w:pPr>
            <w:r>
              <w:t>Verantwortlich für die Initiierung: CIO, Bereichsleitung</w:t>
            </w:r>
            <w:r>
              <w:br/>
              <w:t xml:space="preserve">Verantwortlich für die Umsetzung: </w:t>
            </w:r>
            <w:r w:rsidR="008F2531">
              <w:t>IT-Nutzerinnen und -Nutzer</w:t>
            </w:r>
          </w:p>
          <w:p w14:paraId="6A4E05C5" w14:textId="77777777" w:rsidR="00F23771" w:rsidRDefault="00F23771" w:rsidP="00F23771">
            <w:pPr>
              <w:spacing w:after="120"/>
            </w:pPr>
          </w:p>
        </w:tc>
      </w:tr>
      <w:tr w:rsidR="00F23771" w14:paraId="3C5C237D" w14:textId="77777777" w:rsidTr="00962683">
        <w:tc>
          <w:tcPr>
            <w:tcW w:w="5670" w:type="dxa"/>
          </w:tcPr>
          <w:p w14:paraId="07B34D32" w14:textId="22F28E04" w:rsidR="00F23771" w:rsidRDefault="00F23771" w:rsidP="00F23771">
            <w:pPr>
              <w:pStyle w:val="berschrift3"/>
              <w:numPr>
                <w:ilvl w:val="1"/>
                <w:numId w:val="1"/>
              </w:numPr>
              <w:spacing w:after="120"/>
              <w:outlineLvl w:val="2"/>
            </w:pPr>
            <w:bookmarkStart w:id="46" w:name="_Toc12439642"/>
            <w:bookmarkStart w:id="47" w:name="_Toc17278449"/>
            <w:r>
              <w:t>Zugriffsschutz</w:t>
            </w:r>
            <w:bookmarkEnd w:id="46"/>
            <w:bookmarkEnd w:id="47"/>
          </w:p>
          <w:p w14:paraId="04A52BFE" w14:textId="77777777" w:rsidR="00F23771" w:rsidRDefault="00F23771" w:rsidP="00F23771">
            <w:pPr>
              <w:spacing w:after="120"/>
            </w:pPr>
            <w:r w:rsidRPr="00420CCA">
              <w:t>Beim Verlassen des Arbeitsplatzes müssen der Arbeitsplatzrechner und mobile Geräte (Notebooks, Tabletts, Smartphones, usw.) durch einen Kennwortschutz gesperrt werden. Grundsätzlic</w:t>
            </w:r>
            <w:r>
              <w:t>h sind die Ar</w:t>
            </w:r>
            <w:r w:rsidRPr="00420CCA">
              <w:t>beitsplatzsysteme nach Dienstschluss auszuschalten, dabei sollte die Spannungszu</w:t>
            </w:r>
            <w:r>
              <w:t>führung durch schaltbare Steckdosen</w:t>
            </w:r>
            <w:r w:rsidRPr="00420CCA">
              <w:t xml:space="preserve">leisten </w:t>
            </w:r>
            <w:r w:rsidRPr="00420CCA">
              <w:rPr>
                <w:u w:val="single"/>
              </w:rPr>
              <w:t>nicht</w:t>
            </w:r>
            <w:r w:rsidRPr="00420CCA">
              <w:t xml:space="preserve"> unterbrochen werden (Gewährleistung der nächtlichen Update-Funktion). Von diesen Regelungen kann nur abgewichen werden, soweit es die Arbeitsorganisation dringend erfordert und/oder andere Sicherheitsmaßnahmen es ermöglichen.</w:t>
            </w:r>
          </w:p>
          <w:p w14:paraId="4F9564EC" w14:textId="1C6EA97C" w:rsidR="00F23771" w:rsidRPr="00B776B8" w:rsidRDefault="00F23771" w:rsidP="00F23771">
            <w:pPr>
              <w:spacing w:after="120"/>
            </w:pPr>
            <w:r>
              <w:t xml:space="preserve">IT-Nutzerinnen und -Nutzer haben ihr Passwort geheim zu halten. Idealerweise sollte das Passwort nicht notiert werden. </w:t>
            </w:r>
          </w:p>
          <w:p w14:paraId="314D8DAC" w14:textId="77777777" w:rsidR="00F23771" w:rsidRDefault="00F23771" w:rsidP="00F23771">
            <w:pPr>
              <w:spacing w:after="120"/>
            </w:pPr>
            <w:r>
              <w:t>Die Arbeit unter der Kennung einer anderen Person ist unzulässig. Den IT-Nutzerinnen und –Nutzern ist untersagt, Kennungen und Passwörter weiterzugeben. Dies gilt für alle genutzten Systeme und Dienste. Ausgenommen von dieser Regelung sind Systeme, die für allgemeine öffentliche Zugänge bestimmt sind (z. B. Kiosksysteme, Abfragestationen für Bibliothekskataloge).</w:t>
            </w:r>
          </w:p>
          <w:p w14:paraId="6E53B7C5" w14:textId="7BB32EA4" w:rsidR="00F23771" w:rsidRDefault="00F23771" w:rsidP="00F23771">
            <w:pPr>
              <w:spacing w:after="120"/>
            </w:pPr>
            <w:r>
              <w:t xml:space="preserve">Erhalten IT-Nutzerinnen und -Nutzer beim Anmelden mit dem persönlichen Passwort temporär keinen Zugriff auf das System, besteht die Gefahr, dass das Passwort durch Ausprobieren ermittelt wurde, um illegal Zugang zum System zu erhalten. Solche Vorfälle sind dem IT-Personal zu melden.  Vergisst eine IT-Nutzerin oder ein IT-Nutzer ihr bzw. sein Passwort, hat sie bzw. er beim IT-Personal ohne vorheriges Ausprobieren das Zurücksetzen zu veranlassen, da ansonsten eine temporäre Sperrung des Zugangs droht. </w:t>
            </w:r>
          </w:p>
        </w:tc>
        <w:tc>
          <w:tcPr>
            <w:tcW w:w="0" w:type="auto"/>
            <w:gridSpan w:val="2"/>
          </w:tcPr>
          <w:p w14:paraId="65619F02" w14:textId="3BC989D8" w:rsidR="00F6611E" w:rsidRDefault="00F6611E" w:rsidP="00F6611E">
            <w:pPr>
              <w:spacing w:after="120"/>
            </w:pPr>
            <w:r>
              <w:t>Verantwortlich für die Initiierung: CIO, Bereichsleitung</w:t>
            </w:r>
            <w:r>
              <w:br/>
              <w:t xml:space="preserve">Verantwortlich für die Umsetzung: </w:t>
            </w:r>
            <w:r w:rsidR="008F2531">
              <w:t>IT-Nutzerinnen und -Nutzer</w:t>
            </w:r>
          </w:p>
          <w:p w14:paraId="71F4DF69" w14:textId="77777777" w:rsidR="00F6611E" w:rsidRDefault="00F6611E" w:rsidP="00F23771">
            <w:pPr>
              <w:spacing w:after="120"/>
            </w:pPr>
          </w:p>
          <w:p w14:paraId="58A5374A" w14:textId="77777777" w:rsidR="00F6611E" w:rsidRDefault="00F6611E" w:rsidP="00F23771">
            <w:pPr>
              <w:spacing w:after="120"/>
            </w:pPr>
          </w:p>
          <w:p w14:paraId="566F304C" w14:textId="29BFD41D" w:rsidR="00F23771" w:rsidRDefault="00F23771" w:rsidP="00F23771">
            <w:pPr>
              <w:spacing w:after="120"/>
            </w:pPr>
            <w:r>
              <w:t xml:space="preserve">Empfehlungen zur Gestaltung der Passwörter werden im Intranet der Universität unter </w:t>
            </w:r>
            <w:hyperlink r:id="rId14" w:history="1">
              <w:r w:rsidR="003C7444" w:rsidRPr="000174E5">
                <w:rPr>
                  <w:rStyle w:val="Hyperlink"/>
                </w:rPr>
                <w:t>https://www.uni-erfurt.de/mitarbeiterservice/mein-arbeitsplatz/it-service/it-sicherheit/</w:t>
              </w:r>
            </w:hyperlink>
            <w:r>
              <w:t xml:space="preserve"> bereitgestellt.</w:t>
            </w:r>
          </w:p>
          <w:p w14:paraId="08C6BF61" w14:textId="77777777" w:rsidR="00F23771" w:rsidRDefault="00F23771" w:rsidP="00F23771">
            <w:pPr>
              <w:spacing w:after="120"/>
            </w:pPr>
          </w:p>
          <w:p w14:paraId="4623190F" w14:textId="1775F175" w:rsidR="00F23771" w:rsidRDefault="00F23771" w:rsidP="00F23771">
            <w:pPr>
              <w:spacing w:after="120"/>
            </w:pPr>
            <w:r w:rsidRPr="00B776B8">
              <w:t xml:space="preserve">Spezielle Regelungen und Hinweise für Zertifikate findet man </w:t>
            </w:r>
            <w:r>
              <w:t xml:space="preserve">im Intranet der Universität </w:t>
            </w:r>
            <w:r w:rsidRPr="00B776B8">
              <w:t xml:space="preserve">auf der </w:t>
            </w:r>
            <w:r>
              <w:t xml:space="preserve">Seite </w:t>
            </w:r>
            <w:hyperlink r:id="rId15" w:history="1">
              <w:r w:rsidRPr="00764CB5">
                <w:rPr>
                  <w:rStyle w:val="Hyperlink"/>
                </w:rPr>
                <w:t>https://www.uni-erfurt.de/mitarbeiterservice/mein-arbeitsplatz/it-service/it-sicherheit/</w:t>
              </w:r>
            </w:hyperlink>
            <w:r>
              <w:t xml:space="preserve"> </w:t>
            </w:r>
          </w:p>
          <w:p w14:paraId="1CBDE738" w14:textId="451D1BF7" w:rsidR="00F23771" w:rsidRDefault="00F23771" w:rsidP="00F23771">
            <w:pPr>
              <w:spacing w:after="120"/>
            </w:pPr>
          </w:p>
        </w:tc>
      </w:tr>
      <w:tr w:rsidR="00F23771" w14:paraId="75E77A46" w14:textId="77777777" w:rsidTr="00962683">
        <w:tc>
          <w:tcPr>
            <w:tcW w:w="5670" w:type="dxa"/>
          </w:tcPr>
          <w:p w14:paraId="1D4399B8" w14:textId="1EF260C2" w:rsidR="00F23771" w:rsidRDefault="00F23771" w:rsidP="00F23771">
            <w:pPr>
              <w:pStyle w:val="berschrift3"/>
              <w:numPr>
                <w:ilvl w:val="1"/>
                <w:numId w:val="1"/>
              </w:numPr>
              <w:spacing w:after="120"/>
              <w:outlineLvl w:val="2"/>
            </w:pPr>
            <w:bookmarkStart w:id="48" w:name="_Toc12439643"/>
            <w:bookmarkStart w:id="49" w:name="_Toc17278450"/>
            <w:r>
              <w:lastRenderedPageBreak/>
              <w:t>Netzzugang</w:t>
            </w:r>
            <w:bookmarkEnd w:id="48"/>
            <w:bookmarkEnd w:id="49"/>
          </w:p>
          <w:p w14:paraId="752642CE" w14:textId="36F0BB3F" w:rsidR="00F23771" w:rsidRDefault="00F23771" w:rsidP="00F23771">
            <w:pPr>
              <w:spacing w:after="120"/>
            </w:pPr>
            <w:r>
              <w:t>Der Anschluss von Systemen an das Datennetz der Universität Erfurt hat ausschließlich über die dafür vorgesehene Infrastruktur zu erfolgen. Die eigenmächtige Einrichtung oder Benutzung von zusätzlichen Verbindungen (Switches, Hubs o. ä.) sowie die eigenmächtige Einbringung aktiver und passiver Netzwerkkomponenten (z.B.: WLAN-Router) ist unzulässig. Ausnahmen darf nur das URMZ in Absprache mit der Bereichsleitung und ggf. mit der/dem Datenschutzbeauftragten einrichten. Das Netz wird durch geeignete Maßnahmen geschützt, die nicht umgangen werden dürfen.</w:t>
            </w:r>
          </w:p>
        </w:tc>
        <w:tc>
          <w:tcPr>
            <w:tcW w:w="0" w:type="auto"/>
            <w:gridSpan w:val="2"/>
          </w:tcPr>
          <w:p w14:paraId="3E55DA03" w14:textId="3DB9F345" w:rsidR="00F6611E" w:rsidRDefault="00F6611E" w:rsidP="00F6611E">
            <w:pPr>
              <w:spacing w:after="120"/>
            </w:pPr>
            <w:r>
              <w:t>Verantwortlich für die Initiierung: CIO, Bereichsleitung</w:t>
            </w:r>
            <w:r>
              <w:br/>
              <w:t xml:space="preserve">Verantwortlich für die Umsetzung: </w:t>
            </w:r>
            <w:r w:rsidR="008F2531">
              <w:t>IT-Nutzerinnen und -Nutzer</w:t>
            </w:r>
          </w:p>
          <w:p w14:paraId="57DDE001" w14:textId="77777777" w:rsidR="00F23771" w:rsidRDefault="00F23771" w:rsidP="00F23771">
            <w:pPr>
              <w:spacing w:after="120"/>
            </w:pPr>
          </w:p>
        </w:tc>
      </w:tr>
      <w:tr w:rsidR="00F23771" w14:paraId="46A7534E" w14:textId="77777777" w:rsidTr="00962683">
        <w:tc>
          <w:tcPr>
            <w:tcW w:w="5670" w:type="dxa"/>
          </w:tcPr>
          <w:p w14:paraId="7CA249A8" w14:textId="51388799" w:rsidR="00F23771" w:rsidRDefault="00F23771" w:rsidP="00F23771">
            <w:pPr>
              <w:pStyle w:val="berschrift3"/>
              <w:numPr>
                <w:ilvl w:val="1"/>
                <w:numId w:val="1"/>
              </w:numPr>
              <w:spacing w:after="120"/>
              <w:outlineLvl w:val="2"/>
            </w:pPr>
            <w:bookmarkStart w:id="50" w:name="_Toc12439644"/>
            <w:bookmarkStart w:id="51" w:name="_Toc17278451"/>
            <w:r>
              <w:t>Sichere Netzwerknutzung</w:t>
            </w:r>
            <w:bookmarkEnd w:id="50"/>
            <w:bookmarkEnd w:id="51"/>
          </w:p>
          <w:p w14:paraId="531C4446" w14:textId="6B602897" w:rsidR="00F23771" w:rsidRDefault="00F23771" w:rsidP="00F23771">
            <w:pPr>
              <w:spacing w:after="120"/>
            </w:pPr>
            <w:r>
              <w:t>Der Einsatz von verschlüsselten Kommunikationsdiensten (z.B.: https://) ist nach Möglichkeit den unverschlüsselten Diensten vorzuziehen. Die Übertragung schützenswerter Daten muss verschlüsselt erfolgen oder durch andere geeignete Maßnahmen (z. B. Verwendung isolierter eigener interner Netze – sogenannte VLANs, die keinen Zugang zum Internet haben) gesichert werden.</w:t>
            </w:r>
          </w:p>
        </w:tc>
        <w:tc>
          <w:tcPr>
            <w:tcW w:w="0" w:type="auto"/>
            <w:gridSpan w:val="2"/>
          </w:tcPr>
          <w:p w14:paraId="5DAD442A" w14:textId="21B662B4" w:rsidR="00F6611E" w:rsidRDefault="00F6611E" w:rsidP="00F6611E">
            <w:pPr>
              <w:spacing w:after="120"/>
            </w:pPr>
            <w:r>
              <w:t>Verantwortlich für die Initiierung: CIO, Bereichsleitung</w:t>
            </w:r>
            <w:r>
              <w:br/>
              <w:t xml:space="preserve">Verantwortlich für die Umsetzung: </w:t>
            </w:r>
            <w:r w:rsidR="008F2531">
              <w:t>IT-Nutzerinnen und -Nutzer</w:t>
            </w:r>
            <w:r>
              <w:t>, IT-Personal</w:t>
            </w:r>
          </w:p>
          <w:p w14:paraId="7E74171B" w14:textId="77777777" w:rsidR="00F23771" w:rsidRDefault="00F23771" w:rsidP="00F23771">
            <w:pPr>
              <w:spacing w:after="120"/>
            </w:pPr>
          </w:p>
        </w:tc>
      </w:tr>
      <w:tr w:rsidR="00F23771" w14:paraId="68AC4888" w14:textId="77777777" w:rsidTr="00962683">
        <w:tc>
          <w:tcPr>
            <w:tcW w:w="5670" w:type="dxa"/>
          </w:tcPr>
          <w:p w14:paraId="6080FD9C" w14:textId="37D82481" w:rsidR="00F23771" w:rsidRDefault="00F23771" w:rsidP="00F23771">
            <w:pPr>
              <w:pStyle w:val="berschrift3"/>
              <w:numPr>
                <w:ilvl w:val="1"/>
                <w:numId w:val="1"/>
              </w:numPr>
              <w:spacing w:after="120"/>
              <w:outlineLvl w:val="2"/>
            </w:pPr>
            <w:bookmarkStart w:id="52" w:name="_Toc12439645"/>
            <w:bookmarkStart w:id="53" w:name="_Toc17278452"/>
            <w:r>
              <w:lastRenderedPageBreak/>
              <w:t>Datensicherung</w:t>
            </w:r>
            <w:bookmarkEnd w:id="52"/>
            <w:bookmarkEnd w:id="53"/>
          </w:p>
          <w:p w14:paraId="4F8E3B43" w14:textId="77777777" w:rsidR="00F23771" w:rsidRDefault="00F23771" w:rsidP="00F23771">
            <w:pPr>
              <w:spacing w:after="120"/>
            </w:pPr>
            <w:r>
              <w:t>Regelmäßig durchgeführte Datensicherungen sollen vor Verlust durch Fehlbedienung, technische Störungen o.ä. schützen. Grundsätzlich sind Daten auf zentralen Servern zu speichern. Ist die Speicherung auf zentralen Servern vorübergehend oder dauerhaft nicht möglich, sind die der IT-Nutzerinnen und _Nutzer für die Sicherung ihrer Daten selbst verantwortlich, dies gilt besonders bei selbstadministrierten Geräten.</w:t>
            </w:r>
          </w:p>
          <w:p w14:paraId="1E846145" w14:textId="77777777" w:rsidR="00F23771" w:rsidRDefault="00F23771" w:rsidP="00F23771">
            <w:pPr>
              <w:spacing w:after="120"/>
            </w:pPr>
            <w:r w:rsidRPr="00A511F9">
              <w:t>Die zentrale Datensicherung durch das URMZ erfolgt für einen Zeitraum von drei Monaten rückwirk</w:t>
            </w:r>
            <w:r>
              <w:t>end. Die IT-Nutzerinnen und -Nutzer</w:t>
            </w:r>
            <w:r w:rsidRPr="00A511F9">
              <w:t xml:space="preserve"> </w:t>
            </w:r>
            <w:r>
              <w:t xml:space="preserve">sollten </w:t>
            </w:r>
            <w:r w:rsidRPr="00A511F9">
              <w:t>sich über ggf. hiervon abweichende in den jeweiligen Bereichen geltende Regelungen zu Rhythmus und Verfahrensweise für die Datensicherung informieren</w:t>
            </w:r>
            <w:r>
              <w:t>.</w:t>
            </w:r>
          </w:p>
          <w:p w14:paraId="57944512" w14:textId="1755A071" w:rsidR="00F23771" w:rsidRDefault="00F23771" w:rsidP="00F23771">
            <w:pPr>
              <w:spacing w:after="120"/>
            </w:pPr>
            <w:r w:rsidRPr="00A511F9">
              <w:t>Das Speichern schützenswerter Daten auf der Festplatte von Arbeit</w:t>
            </w:r>
            <w:r>
              <w:t>splatzrechnern (insbesondere von Note</w:t>
            </w:r>
            <w:r w:rsidRPr="00A511F9">
              <w:t>books) oder anderer lokaler Speicher- oder Übertragungsmedien und deren Übertragung ist nur zulässig, wenn die für den jeweiligen Schutzbedarf (die für die jeweilige Schutzst</w:t>
            </w:r>
            <w:r>
              <w:t>ufe) erforderlichen Sicherheits</w:t>
            </w:r>
            <w:r w:rsidRPr="00A511F9">
              <w:t>m</w:t>
            </w:r>
            <w:r>
              <w:t>aßnahmen getroffen wurden. Bei Unsicherheiten ist die/der Datenschutzbeauftragte zu konsultieren.</w:t>
            </w:r>
          </w:p>
          <w:p w14:paraId="6E2A956F" w14:textId="093C857C" w:rsidR="00F23771" w:rsidRPr="00A511F9" w:rsidRDefault="00F23771" w:rsidP="00F23771">
            <w:pPr>
              <w:spacing w:after="120"/>
            </w:pPr>
            <w:r>
              <w:t>Zur Datenspeicherung in der Cloud ist der DFN-Cloud-Dienst zu verwenden. Der Antrag auf Nutzung durch IT-Nutzerinnen und -Nutzer ist beim URMZ zu stellen.</w:t>
            </w:r>
            <w:r w:rsidRPr="00B776B8">
              <w:t xml:space="preserve"> Für die Speicherung, insbesondere von schützenswerten Daten, in der Cloud sind besondere Regelungen zu beachten (u.a. sind schützenswerte Daten</w:t>
            </w:r>
            <w:r>
              <w:t xml:space="preserve"> immer verschlüsselt abzulegen). </w:t>
            </w:r>
          </w:p>
          <w:p w14:paraId="10779CF3" w14:textId="305CF8A9" w:rsidR="00F23771" w:rsidRDefault="00F23771" w:rsidP="00F23771">
            <w:pPr>
              <w:spacing w:after="120"/>
            </w:pPr>
            <w:r w:rsidRPr="00A511F9">
              <w:t>Datenträger sind an gesicherten Orten aufzubewahren. Ggf. sind Datent</w:t>
            </w:r>
            <w:r>
              <w:t>rägertresore zu beschaffen. Wei</w:t>
            </w:r>
            <w:r w:rsidRPr="00A511F9">
              <w:t>terhin sind Datenträger zu kennzeichnen, falls die Identifikation des Datenträgers nicht durch ein anderes technisches Verfahren erfolgt. Datenträger müssen beim Transport vor Beschädigungen geschützt sein. Bei schützenswerten Daten ist eine Verschlüsselung erforderlich.</w:t>
            </w:r>
          </w:p>
        </w:tc>
        <w:tc>
          <w:tcPr>
            <w:tcW w:w="0" w:type="auto"/>
            <w:gridSpan w:val="2"/>
          </w:tcPr>
          <w:p w14:paraId="007CAED1" w14:textId="6CF5558D" w:rsidR="00F6611E" w:rsidRDefault="00F6611E" w:rsidP="00F6611E">
            <w:pPr>
              <w:spacing w:after="120"/>
            </w:pPr>
            <w:r>
              <w:t xml:space="preserve">Verantwortlich für die Initiierung: IT-Verantwortlicher Verantwortlich für die Umsetzung: IT-Personal, </w:t>
            </w:r>
            <w:r w:rsidR="008F2531">
              <w:t>IT-Nutzerinnen und -Nutzer</w:t>
            </w:r>
          </w:p>
          <w:p w14:paraId="2B2ACC83" w14:textId="77777777" w:rsidR="00F6611E" w:rsidRDefault="00F6611E" w:rsidP="00F23771">
            <w:pPr>
              <w:spacing w:after="120"/>
            </w:pPr>
          </w:p>
          <w:p w14:paraId="28A3C03F" w14:textId="09FE4A6D" w:rsidR="00F23771" w:rsidRDefault="00F23771" w:rsidP="00F23771">
            <w:pPr>
              <w:spacing w:after="120"/>
            </w:pPr>
            <w:r>
              <w:t>Hinweise zum Umgang mit schützenswerten Daten finden sich</w:t>
            </w:r>
          </w:p>
          <w:p w14:paraId="7FC448A1" w14:textId="77777777" w:rsidR="00F23771" w:rsidRDefault="00F23771" w:rsidP="00F23771">
            <w:pPr>
              <w:pStyle w:val="Listenabsatz"/>
              <w:numPr>
                <w:ilvl w:val="0"/>
                <w:numId w:val="17"/>
              </w:numPr>
              <w:spacing w:after="120"/>
              <w:ind w:left="357" w:hanging="357"/>
              <w:rPr>
                <w:rStyle w:val="Hyperlink"/>
              </w:rPr>
            </w:pPr>
            <w:r>
              <w:t xml:space="preserve"> beispielsweise im Leitfaden zur Basisabsicherung nach IT-Grundschutz des Bundesamts für Sicherheit in der Informationstechnik (</w:t>
            </w:r>
            <w:r w:rsidRPr="00B776B8">
              <w:t>BSI</w:t>
            </w:r>
            <w:r>
              <w:t xml:space="preserve">), online unter </w:t>
            </w:r>
            <w:hyperlink r:id="rId16" w:history="1">
              <w:r w:rsidRPr="00764CB5">
                <w:rPr>
                  <w:rStyle w:val="Hyperlink"/>
                </w:rPr>
                <w:t>https://www.bsi.bund.de/SharedDocs/Downloads/DE/BSI/Publikationen/Broschueren/Leitfaden_zur_Basis-Absicherung.pdf</w:t>
              </w:r>
            </w:hyperlink>
          </w:p>
          <w:p w14:paraId="39D2B16F" w14:textId="430F133D" w:rsidR="00F23771" w:rsidRPr="00EA09EF" w:rsidRDefault="00F23771" w:rsidP="00F23771">
            <w:pPr>
              <w:pStyle w:val="Listenabsatz"/>
              <w:numPr>
                <w:ilvl w:val="0"/>
                <w:numId w:val="17"/>
              </w:numPr>
              <w:spacing w:after="120"/>
              <w:ind w:left="357" w:hanging="357"/>
              <w:rPr>
                <w:color w:val="0563C1" w:themeColor="hyperlink"/>
                <w:u w:val="single"/>
              </w:rPr>
            </w:pPr>
            <w:r>
              <w:t xml:space="preserve">auf den Seiten zur IT-Sicherheit an der Universität Erfurt im Intranet unter </w:t>
            </w:r>
            <w:r w:rsidRPr="00EA09EF">
              <w:t xml:space="preserve">https://www.uni-erfurt.de/mitarbeiterservice/mein-arbeitsplatz/it-service/it-sicherheit/ </w:t>
            </w:r>
            <w:r>
              <w:t xml:space="preserve"> </w:t>
            </w:r>
          </w:p>
          <w:p w14:paraId="0A8E41A1" w14:textId="111C0105" w:rsidR="00F23771" w:rsidRDefault="00F23771" w:rsidP="00F23771">
            <w:pPr>
              <w:pStyle w:val="Listenabsatz"/>
              <w:numPr>
                <w:ilvl w:val="0"/>
                <w:numId w:val="17"/>
              </w:numPr>
              <w:spacing w:after="120"/>
              <w:ind w:left="357" w:hanging="357"/>
              <w:rPr>
                <w:rStyle w:val="Hyperlink"/>
              </w:rPr>
            </w:pPr>
            <w:r>
              <w:t xml:space="preserve">sowie auf den Seiten zum Datenschutz an der Universität Erfurt im Internet unter </w:t>
            </w:r>
            <w:hyperlink r:id="rId17" w:history="1">
              <w:r w:rsidRPr="00764CB5">
                <w:rPr>
                  <w:rStyle w:val="Hyperlink"/>
                </w:rPr>
                <w:t>https://www.uni-erfurt.de/datenschutz/</w:t>
              </w:r>
            </w:hyperlink>
          </w:p>
          <w:p w14:paraId="1600702F" w14:textId="77777777" w:rsidR="00F23771" w:rsidRDefault="00F23771" w:rsidP="00F23771">
            <w:pPr>
              <w:spacing w:after="120"/>
              <w:rPr>
                <w:rStyle w:val="Hyperlink"/>
              </w:rPr>
            </w:pPr>
          </w:p>
          <w:p w14:paraId="57CCD8F6" w14:textId="0B46265B" w:rsidR="00F23771" w:rsidRDefault="00F23771" w:rsidP="00F23771">
            <w:pPr>
              <w:spacing w:after="120"/>
            </w:pPr>
          </w:p>
        </w:tc>
      </w:tr>
      <w:tr w:rsidR="00F23771" w14:paraId="299201BC" w14:textId="77777777" w:rsidTr="00962683">
        <w:tc>
          <w:tcPr>
            <w:tcW w:w="5670" w:type="dxa"/>
          </w:tcPr>
          <w:p w14:paraId="0F54684D" w14:textId="4B448E18" w:rsidR="00F23771" w:rsidRDefault="00F23771" w:rsidP="00F23771">
            <w:pPr>
              <w:pStyle w:val="berschrift3"/>
              <w:numPr>
                <w:ilvl w:val="1"/>
                <w:numId w:val="1"/>
              </w:numPr>
              <w:spacing w:after="120"/>
              <w:outlineLvl w:val="2"/>
            </w:pPr>
            <w:bookmarkStart w:id="54" w:name="_Toc12439646"/>
            <w:bookmarkStart w:id="55" w:name="_Toc17278453"/>
            <w:r>
              <w:lastRenderedPageBreak/>
              <w:t>Datenlöschung</w:t>
            </w:r>
            <w:bookmarkEnd w:id="54"/>
            <w:bookmarkEnd w:id="55"/>
          </w:p>
          <w:p w14:paraId="3432085F" w14:textId="77777777" w:rsidR="00F23771" w:rsidRDefault="00F23771" w:rsidP="00F23771">
            <w:pPr>
              <w:spacing w:after="120"/>
            </w:pPr>
            <w:r>
              <w:t>Datenträger mit schützenswerten Daten müssen vor einer Weitergabe an nicht autorisierte Personen physisch gelöscht werden. Das kann mit geeigneten Programmen oder mit einem Gerät zum magnetischen Durchflutungslöschen erfolgen.</w:t>
            </w:r>
          </w:p>
          <w:p w14:paraId="7E77F967" w14:textId="77777777" w:rsidR="00F23771" w:rsidRDefault="00F23771" w:rsidP="00F23771">
            <w:pPr>
              <w:spacing w:after="120"/>
            </w:pPr>
            <w:r>
              <w:t>Auszusondernde oder defekte Datenträger müssen, sofern sie schützenswerte Daten enthalten (oder enthalten haben), vollständig unlesbar gemacht werden. Die betreffenden Datenträger sind im URMZ zur Aussonderung abzugeben. Das URMZ leitet sie einer professionellen Datenvernichtung zu.</w:t>
            </w:r>
          </w:p>
          <w:p w14:paraId="441EB305" w14:textId="288FE094" w:rsidR="00F23771" w:rsidRDefault="00F23771" w:rsidP="00F23771">
            <w:pPr>
              <w:spacing w:after="120"/>
            </w:pPr>
            <w:r>
              <w:t xml:space="preserve">Weitere Informationen zu Aufbewahrungsfristen und zum Löschen von Datenträgern finden sich in der „Dienstanweisung Datenabfall“ und den zugehörigen Anlagen unter. Darüber hinaus </w:t>
            </w:r>
            <w:r w:rsidRPr="00251E2B">
              <w:t>geben das URMZ sowie die Datenschu</w:t>
            </w:r>
            <w:r>
              <w:t>tzbeauftragten der Universität Auskunft.</w:t>
            </w:r>
          </w:p>
        </w:tc>
        <w:tc>
          <w:tcPr>
            <w:tcW w:w="0" w:type="auto"/>
            <w:gridSpan w:val="2"/>
          </w:tcPr>
          <w:p w14:paraId="4E77C967" w14:textId="1ADFEAFA" w:rsidR="00F6611E" w:rsidRDefault="00F6611E" w:rsidP="00F6611E">
            <w:pPr>
              <w:spacing w:after="120"/>
            </w:pPr>
            <w:r>
              <w:t>Verantwortlich für die Initiierung:  IT-Verantwortlicher</w:t>
            </w:r>
            <w:r>
              <w:br/>
              <w:t xml:space="preserve">Verantwortlich für die Umsetzung: </w:t>
            </w:r>
            <w:r w:rsidR="003B4D4B">
              <w:t>IT-Personal</w:t>
            </w:r>
            <w:r>
              <w:t xml:space="preserve">, </w:t>
            </w:r>
            <w:r w:rsidR="008F2531">
              <w:t>IT-Nutzerinnen und -Nutzer</w:t>
            </w:r>
          </w:p>
          <w:p w14:paraId="684EB33C" w14:textId="77777777" w:rsidR="00F6611E" w:rsidRDefault="00F6611E" w:rsidP="00F23771">
            <w:pPr>
              <w:spacing w:after="120"/>
            </w:pPr>
          </w:p>
          <w:p w14:paraId="68C6B170" w14:textId="2B6C8402" w:rsidR="00F23771" w:rsidRDefault="00F23771" w:rsidP="003C7444">
            <w:pPr>
              <w:spacing w:after="120"/>
            </w:pPr>
            <w:r>
              <w:t xml:space="preserve">Die </w:t>
            </w:r>
            <w:r w:rsidRPr="00EA09EF">
              <w:t>„Di</w:t>
            </w:r>
            <w:r>
              <w:t>enstanweisung Datenabfall“ und die</w:t>
            </w:r>
            <w:r w:rsidRPr="00EA09EF">
              <w:t xml:space="preserve"> zugehörigen Anlagen </w:t>
            </w:r>
            <w:r>
              <w:t>sind im Intranet der Universität Erfurt unter</w:t>
            </w:r>
            <w:r w:rsidRPr="00EA09EF">
              <w:t xml:space="preserve"> </w:t>
            </w:r>
            <w:hyperlink r:id="rId18" w:history="1">
              <w:r w:rsidR="003C7444" w:rsidRPr="000174E5">
                <w:rPr>
                  <w:rStyle w:val="Hyperlink"/>
                </w:rPr>
                <w:t>https://www.uni-erfurt.de/mitarbeiterservice/aktuelles/aktuelle-meldungen/news-detail/news-show/dienstanweisung-datenabfall-rundschreiben-des-praesidenten/</w:t>
              </w:r>
            </w:hyperlink>
            <w:r w:rsidR="003C7444">
              <w:t xml:space="preserve"> </w:t>
            </w:r>
            <w:r>
              <w:t>hinterlegt.</w:t>
            </w:r>
          </w:p>
        </w:tc>
      </w:tr>
      <w:tr w:rsidR="00F23771" w14:paraId="5E2399EB" w14:textId="77777777" w:rsidTr="00962683">
        <w:tc>
          <w:tcPr>
            <w:tcW w:w="5670" w:type="dxa"/>
          </w:tcPr>
          <w:p w14:paraId="38A32639" w14:textId="77777777" w:rsidR="00F23771" w:rsidRDefault="00F23771" w:rsidP="00F23771">
            <w:pPr>
              <w:pStyle w:val="berschrift3"/>
              <w:numPr>
                <w:ilvl w:val="1"/>
                <w:numId w:val="1"/>
              </w:numPr>
              <w:spacing w:after="120"/>
              <w:outlineLvl w:val="2"/>
            </w:pPr>
            <w:bookmarkStart w:id="56" w:name="_Toc12439647"/>
            <w:bookmarkStart w:id="57" w:name="_Toc17278454"/>
            <w:r>
              <w:t>Meldung von Sicherheitsproblemen und Datenpannen</w:t>
            </w:r>
            <w:bookmarkEnd w:id="56"/>
            <w:bookmarkEnd w:id="57"/>
          </w:p>
          <w:p w14:paraId="5C8DE29B" w14:textId="65C6CC17" w:rsidR="00F23771" w:rsidRDefault="00F23771" w:rsidP="00F23771">
            <w:pPr>
              <w:spacing w:after="120"/>
            </w:pPr>
            <w:r w:rsidRPr="0041654A">
              <w:t>Auftretende Sicherheitsprobleme aller Art (Systemabstürze, fehlerhaftes Verhalten von bisher</w:t>
            </w:r>
            <w:r>
              <w:t xml:space="preserve"> </w:t>
            </w:r>
            <w:r w:rsidRPr="0041654A">
              <w:t xml:space="preserve">fehlerfrei laufenden Anwendungen, Hardwareausfälle, Eindringen Unbefugter, Manipulationen, Virenbefall u. a.) sind dem zuständigen IT-Personal mitzuteilen. </w:t>
            </w:r>
            <w:r>
              <w:t>In Abhängigkeit vom Schutzbedarf der betreffenden Anwendung ist j</w:t>
            </w:r>
            <w:r w:rsidRPr="0041654A">
              <w:t xml:space="preserve">eder schwerwiegende Vorfall </w:t>
            </w:r>
            <w:r>
              <w:t xml:space="preserve">vom zuständigen IT-Personal zu </w:t>
            </w:r>
            <w:r w:rsidRPr="0041654A">
              <w:t>dokumentieren</w:t>
            </w:r>
            <w:r>
              <w:t xml:space="preserve"> </w:t>
            </w:r>
            <w:r w:rsidRPr="0041654A">
              <w:t>und dem</w:t>
            </w:r>
            <w:r w:rsidRPr="0041654A">
              <w:rPr>
                <w:spacing w:val="-15"/>
              </w:rPr>
              <w:t xml:space="preserve"> </w:t>
            </w:r>
            <w:r w:rsidRPr="0041654A">
              <w:t xml:space="preserve">IT-Sicherheitsbeauftragten zu melden. Jede Datenpanne (Verlust oder nicht autorisierter Zugriff auf personenbezogenen Daten) muss unverzüglich </w:t>
            </w:r>
            <w:r>
              <w:t>der/dem D</w:t>
            </w:r>
            <w:r w:rsidRPr="0041654A">
              <w:t>atenschutzbeauftragten angezeigt werden.</w:t>
            </w:r>
          </w:p>
        </w:tc>
        <w:tc>
          <w:tcPr>
            <w:tcW w:w="0" w:type="auto"/>
            <w:gridSpan w:val="2"/>
          </w:tcPr>
          <w:p w14:paraId="492DF730" w14:textId="1B4629E7" w:rsidR="003B4D4B" w:rsidRDefault="003B4D4B" w:rsidP="003B4D4B">
            <w:pPr>
              <w:spacing w:after="120"/>
            </w:pPr>
            <w:r>
              <w:t>Verantwortlich für die Initiierung: Bereichsleitung</w:t>
            </w:r>
            <w:r>
              <w:br/>
              <w:t xml:space="preserve">Verantwortlich für die Umsetzung: </w:t>
            </w:r>
            <w:r w:rsidR="008F2531">
              <w:t>IT-Nutzerinnen und -Nutzer</w:t>
            </w:r>
            <w:r>
              <w:t>, IT-Personal</w:t>
            </w:r>
          </w:p>
          <w:p w14:paraId="3A1D753A" w14:textId="77777777" w:rsidR="003B4D4B" w:rsidRDefault="003B4D4B" w:rsidP="00F23771">
            <w:pPr>
              <w:spacing w:after="120"/>
            </w:pPr>
          </w:p>
          <w:p w14:paraId="4A3B406E" w14:textId="598F2DA3" w:rsidR="00F23771" w:rsidRDefault="00F23771" w:rsidP="003C7444">
            <w:pPr>
              <w:spacing w:after="120"/>
            </w:pPr>
            <w:r>
              <w:t xml:space="preserve">Weitere Informationen zum Erkennen und Erfassen von Sicherheitsvorfällen stellt das Bundesamt für Sicherheit in der Informationstechnik unter </w:t>
            </w:r>
            <w:hyperlink r:id="rId19" w:history="1">
              <w:r w:rsidR="003C7444" w:rsidRPr="003C7444">
                <w:rPr>
                  <w:rStyle w:val="Hyperlink"/>
                </w:rPr>
                <w:t>https://www.bsi.bund.de/DE/Themen/ITGrundschutz/ITGrundschutzKompendium/bausteine/DER/DER_2_1_Behandlung_von_Sicherheitsvorf%C3%A4llen.html</w:t>
              </w:r>
            </w:hyperlink>
            <w:r w:rsidR="003C7444">
              <w:t xml:space="preserve"> </w:t>
            </w:r>
            <w:r>
              <w:t>bereit.</w:t>
            </w:r>
          </w:p>
        </w:tc>
      </w:tr>
    </w:tbl>
    <w:p w14:paraId="0406C5C2" w14:textId="77777777" w:rsidR="00411760" w:rsidRPr="00671888" w:rsidRDefault="00411760" w:rsidP="007B7F38"/>
    <w:sectPr w:rsidR="00411760" w:rsidRPr="00671888">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1B27E" w14:textId="77777777" w:rsidR="00E62C89" w:rsidRDefault="00E62C89" w:rsidP="0025316E">
      <w:pPr>
        <w:spacing w:after="0" w:line="240" w:lineRule="auto"/>
      </w:pPr>
      <w:r>
        <w:separator/>
      </w:r>
    </w:p>
  </w:endnote>
  <w:endnote w:type="continuationSeparator" w:id="0">
    <w:p w14:paraId="64EC141C" w14:textId="77777777" w:rsidR="00E62C89" w:rsidRDefault="00E62C89" w:rsidP="0025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ctora LH Roman">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432973"/>
      <w:docPartObj>
        <w:docPartGallery w:val="Page Numbers (Bottom of Page)"/>
        <w:docPartUnique/>
      </w:docPartObj>
    </w:sdtPr>
    <w:sdtEndPr/>
    <w:sdtContent>
      <w:p w14:paraId="21200C1F" w14:textId="61374A87" w:rsidR="00456955" w:rsidRDefault="00456955">
        <w:pPr>
          <w:pStyle w:val="Fuzeile"/>
          <w:jc w:val="center"/>
        </w:pPr>
        <w:r>
          <w:fldChar w:fldCharType="begin"/>
        </w:r>
        <w:r>
          <w:instrText>PAGE   \* MERGEFORMAT</w:instrText>
        </w:r>
        <w:r>
          <w:fldChar w:fldCharType="separate"/>
        </w:r>
        <w:r w:rsidR="00DE5BF4">
          <w:rPr>
            <w:noProof/>
          </w:rPr>
          <w:t>15</w:t>
        </w:r>
        <w:r>
          <w:fldChar w:fldCharType="end"/>
        </w:r>
      </w:p>
    </w:sdtContent>
  </w:sdt>
  <w:p w14:paraId="657DD1BC" w14:textId="77777777" w:rsidR="00456955" w:rsidRDefault="0045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9CAD" w14:textId="77777777" w:rsidR="00E62C89" w:rsidRDefault="00E62C89" w:rsidP="0025316E">
      <w:pPr>
        <w:spacing w:after="0" w:line="240" w:lineRule="auto"/>
      </w:pPr>
      <w:r>
        <w:separator/>
      </w:r>
    </w:p>
  </w:footnote>
  <w:footnote w:type="continuationSeparator" w:id="0">
    <w:p w14:paraId="61285E65" w14:textId="77777777" w:rsidR="00E62C89" w:rsidRDefault="00E62C89" w:rsidP="00253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A33"/>
    <w:multiLevelType w:val="hybridMultilevel"/>
    <w:tmpl w:val="D8CA6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FA25AD"/>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34486C"/>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45B1D26"/>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926812"/>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F77B05"/>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742704"/>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678213F"/>
    <w:multiLevelType w:val="hybridMultilevel"/>
    <w:tmpl w:val="4072B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8F1030"/>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B0E291F"/>
    <w:multiLevelType w:val="hybridMultilevel"/>
    <w:tmpl w:val="943A0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675B42"/>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29B2EC1"/>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8659BD"/>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3E2266E"/>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41B32D8"/>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A00610A"/>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B0D12C4"/>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776180"/>
    <w:multiLevelType w:val="hybridMultilevel"/>
    <w:tmpl w:val="56C898DA"/>
    <w:lvl w:ilvl="0" w:tplc="41EC45F2">
      <w:numFmt w:val="bullet"/>
      <w:lvlText w:val="-"/>
      <w:lvlJc w:val="left"/>
      <w:pPr>
        <w:ind w:left="720" w:hanging="360"/>
      </w:pPr>
      <w:rPr>
        <w:rFonts w:ascii="Vectora LH Roman" w:eastAsia="Times New Roman" w:hAnsi="Vectora LH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AD781A"/>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2C4E4D"/>
    <w:multiLevelType w:val="hybridMultilevel"/>
    <w:tmpl w:val="8A86BE4E"/>
    <w:lvl w:ilvl="0" w:tplc="B374E24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400B46"/>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D10FBC"/>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7B21DF5"/>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D222C3D"/>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3C1A84"/>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3645170"/>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C1A6A60"/>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B02D4F"/>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3D33CE"/>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9A62FDC"/>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AF1512F"/>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BB76FDF"/>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CB91341"/>
    <w:multiLevelType w:val="hybridMultilevel"/>
    <w:tmpl w:val="CE983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5E414A"/>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D97603F"/>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DE81395"/>
    <w:multiLevelType w:val="multilevel"/>
    <w:tmpl w:val="1F16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28"/>
  </w:num>
  <w:num w:numId="3">
    <w:abstractNumId w:val="31"/>
  </w:num>
  <w:num w:numId="4">
    <w:abstractNumId w:val="2"/>
  </w:num>
  <w:num w:numId="5">
    <w:abstractNumId w:val="32"/>
  </w:num>
  <w:num w:numId="6">
    <w:abstractNumId w:val="7"/>
  </w:num>
  <w:num w:numId="7">
    <w:abstractNumId w:val="0"/>
  </w:num>
  <w:num w:numId="8">
    <w:abstractNumId w:val="30"/>
  </w:num>
  <w:num w:numId="9">
    <w:abstractNumId w:val="20"/>
  </w:num>
  <w:num w:numId="10">
    <w:abstractNumId w:val="9"/>
  </w:num>
  <w:num w:numId="11">
    <w:abstractNumId w:val="13"/>
  </w:num>
  <w:num w:numId="12">
    <w:abstractNumId w:val="25"/>
  </w:num>
  <w:num w:numId="13">
    <w:abstractNumId w:val="19"/>
  </w:num>
  <w:num w:numId="14">
    <w:abstractNumId w:val="34"/>
  </w:num>
  <w:num w:numId="15">
    <w:abstractNumId w:val="22"/>
  </w:num>
  <w:num w:numId="16">
    <w:abstractNumId w:val="0"/>
  </w:num>
  <w:num w:numId="17">
    <w:abstractNumId w:val="17"/>
  </w:num>
  <w:num w:numId="18">
    <w:abstractNumId w:val="3"/>
  </w:num>
  <w:num w:numId="19">
    <w:abstractNumId w:val="12"/>
  </w:num>
  <w:num w:numId="20">
    <w:abstractNumId w:val="6"/>
  </w:num>
  <w:num w:numId="21">
    <w:abstractNumId w:val="10"/>
  </w:num>
  <w:num w:numId="22">
    <w:abstractNumId w:val="4"/>
  </w:num>
  <w:num w:numId="23">
    <w:abstractNumId w:val="15"/>
  </w:num>
  <w:num w:numId="24">
    <w:abstractNumId w:val="29"/>
  </w:num>
  <w:num w:numId="25">
    <w:abstractNumId w:val="11"/>
  </w:num>
  <w:num w:numId="26">
    <w:abstractNumId w:val="5"/>
  </w:num>
  <w:num w:numId="27">
    <w:abstractNumId w:val="1"/>
  </w:num>
  <w:num w:numId="28">
    <w:abstractNumId w:val="33"/>
  </w:num>
  <w:num w:numId="29">
    <w:abstractNumId w:val="14"/>
  </w:num>
  <w:num w:numId="30">
    <w:abstractNumId w:val="23"/>
  </w:num>
  <w:num w:numId="31">
    <w:abstractNumId w:val="35"/>
  </w:num>
  <w:num w:numId="32">
    <w:abstractNumId w:val="18"/>
  </w:num>
  <w:num w:numId="33">
    <w:abstractNumId w:val="27"/>
  </w:num>
  <w:num w:numId="34">
    <w:abstractNumId w:val="21"/>
  </w:num>
  <w:num w:numId="35">
    <w:abstractNumId w:val="24"/>
  </w:num>
  <w:num w:numId="36">
    <w:abstractNumId w:val="2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1F"/>
    <w:rsid w:val="00007F38"/>
    <w:rsid w:val="000656A1"/>
    <w:rsid w:val="000671F8"/>
    <w:rsid w:val="00077BF9"/>
    <w:rsid w:val="000F20C9"/>
    <w:rsid w:val="000F4F5B"/>
    <w:rsid w:val="0010765C"/>
    <w:rsid w:val="00107CD6"/>
    <w:rsid w:val="0011638E"/>
    <w:rsid w:val="001327D3"/>
    <w:rsid w:val="001518C5"/>
    <w:rsid w:val="00164568"/>
    <w:rsid w:val="001D2DBE"/>
    <w:rsid w:val="001E2A2E"/>
    <w:rsid w:val="001E33CB"/>
    <w:rsid w:val="001E38DE"/>
    <w:rsid w:val="00202EA0"/>
    <w:rsid w:val="0021580F"/>
    <w:rsid w:val="00233A2C"/>
    <w:rsid w:val="002348E8"/>
    <w:rsid w:val="0024588E"/>
    <w:rsid w:val="0024766C"/>
    <w:rsid w:val="00247E16"/>
    <w:rsid w:val="00251E2B"/>
    <w:rsid w:val="0025316E"/>
    <w:rsid w:val="002C5F6F"/>
    <w:rsid w:val="002C7A67"/>
    <w:rsid w:val="002D7EE5"/>
    <w:rsid w:val="002E28FC"/>
    <w:rsid w:val="003166BE"/>
    <w:rsid w:val="00326A93"/>
    <w:rsid w:val="003746B7"/>
    <w:rsid w:val="00386FE5"/>
    <w:rsid w:val="00387E76"/>
    <w:rsid w:val="00396807"/>
    <w:rsid w:val="003B4D4B"/>
    <w:rsid w:val="003C7444"/>
    <w:rsid w:val="003D68F3"/>
    <w:rsid w:val="003E47DD"/>
    <w:rsid w:val="00411760"/>
    <w:rsid w:val="00420CCA"/>
    <w:rsid w:val="004238D1"/>
    <w:rsid w:val="00426C9D"/>
    <w:rsid w:val="00453B0E"/>
    <w:rsid w:val="00456955"/>
    <w:rsid w:val="004758D6"/>
    <w:rsid w:val="00480A1D"/>
    <w:rsid w:val="004924D6"/>
    <w:rsid w:val="00494784"/>
    <w:rsid w:val="00497C35"/>
    <w:rsid w:val="004E1AE3"/>
    <w:rsid w:val="0050222A"/>
    <w:rsid w:val="00507061"/>
    <w:rsid w:val="005408F3"/>
    <w:rsid w:val="005A64DE"/>
    <w:rsid w:val="005B7A57"/>
    <w:rsid w:val="005E715F"/>
    <w:rsid w:val="006070E4"/>
    <w:rsid w:val="006256C4"/>
    <w:rsid w:val="00633AEA"/>
    <w:rsid w:val="0063575E"/>
    <w:rsid w:val="00653B90"/>
    <w:rsid w:val="00667961"/>
    <w:rsid w:val="00671888"/>
    <w:rsid w:val="006841CF"/>
    <w:rsid w:val="00690369"/>
    <w:rsid w:val="006A44A7"/>
    <w:rsid w:val="006A51AA"/>
    <w:rsid w:val="006B035E"/>
    <w:rsid w:val="006B6519"/>
    <w:rsid w:val="006C3272"/>
    <w:rsid w:val="006F6E3C"/>
    <w:rsid w:val="00707020"/>
    <w:rsid w:val="007127EA"/>
    <w:rsid w:val="007150D9"/>
    <w:rsid w:val="00715AC6"/>
    <w:rsid w:val="00732D5D"/>
    <w:rsid w:val="00734D9E"/>
    <w:rsid w:val="007507AE"/>
    <w:rsid w:val="00762A1A"/>
    <w:rsid w:val="007A1FB8"/>
    <w:rsid w:val="007B7F38"/>
    <w:rsid w:val="007C7D3D"/>
    <w:rsid w:val="007F6B6D"/>
    <w:rsid w:val="007F6CB6"/>
    <w:rsid w:val="008233EE"/>
    <w:rsid w:val="0082471F"/>
    <w:rsid w:val="00835D12"/>
    <w:rsid w:val="00836269"/>
    <w:rsid w:val="00844C6C"/>
    <w:rsid w:val="0085548F"/>
    <w:rsid w:val="00861297"/>
    <w:rsid w:val="008A24E8"/>
    <w:rsid w:val="008A59C2"/>
    <w:rsid w:val="008D1CA9"/>
    <w:rsid w:val="008D35BB"/>
    <w:rsid w:val="008E15D1"/>
    <w:rsid w:val="008E3D77"/>
    <w:rsid w:val="008F2531"/>
    <w:rsid w:val="008F4DD8"/>
    <w:rsid w:val="009077D2"/>
    <w:rsid w:val="009463B6"/>
    <w:rsid w:val="00956D24"/>
    <w:rsid w:val="00962683"/>
    <w:rsid w:val="00980F39"/>
    <w:rsid w:val="009E6E2B"/>
    <w:rsid w:val="009F3225"/>
    <w:rsid w:val="00A511F9"/>
    <w:rsid w:val="00A857EA"/>
    <w:rsid w:val="00A97036"/>
    <w:rsid w:val="00AD6B20"/>
    <w:rsid w:val="00AE4C74"/>
    <w:rsid w:val="00AF08CE"/>
    <w:rsid w:val="00AF7099"/>
    <w:rsid w:val="00B24F97"/>
    <w:rsid w:val="00B30ECB"/>
    <w:rsid w:val="00B602F7"/>
    <w:rsid w:val="00B776B8"/>
    <w:rsid w:val="00BD6704"/>
    <w:rsid w:val="00BE5FEC"/>
    <w:rsid w:val="00BE66F0"/>
    <w:rsid w:val="00C13BA7"/>
    <w:rsid w:val="00C37B1E"/>
    <w:rsid w:val="00C40551"/>
    <w:rsid w:val="00C53EF5"/>
    <w:rsid w:val="00C53F77"/>
    <w:rsid w:val="00CA1BFA"/>
    <w:rsid w:val="00CA7BDE"/>
    <w:rsid w:val="00CE1D15"/>
    <w:rsid w:val="00CE3710"/>
    <w:rsid w:val="00CE7773"/>
    <w:rsid w:val="00D06B40"/>
    <w:rsid w:val="00D42E6B"/>
    <w:rsid w:val="00D75C1C"/>
    <w:rsid w:val="00D76F7C"/>
    <w:rsid w:val="00D9293D"/>
    <w:rsid w:val="00DB09B1"/>
    <w:rsid w:val="00DB61CE"/>
    <w:rsid w:val="00DB7309"/>
    <w:rsid w:val="00DD4466"/>
    <w:rsid w:val="00DE5BF4"/>
    <w:rsid w:val="00E21ED0"/>
    <w:rsid w:val="00E336C3"/>
    <w:rsid w:val="00E3469F"/>
    <w:rsid w:val="00E40B3E"/>
    <w:rsid w:val="00E473C8"/>
    <w:rsid w:val="00E57FF6"/>
    <w:rsid w:val="00E62C89"/>
    <w:rsid w:val="00E70849"/>
    <w:rsid w:val="00E72EE0"/>
    <w:rsid w:val="00E86831"/>
    <w:rsid w:val="00EA09EF"/>
    <w:rsid w:val="00EB1B05"/>
    <w:rsid w:val="00EE7DC2"/>
    <w:rsid w:val="00EF27A4"/>
    <w:rsid w:val="00F23771"/>
    <w:rsid w:val="00F511ED"/>
    <w:rsid w:val="00F6611E"/>
    <w:rsid w:val="00FA74A7"/>
    <w:rsid w:val="00FB626B"/>
    <w:rsid w:val="00FC0EAA"/>
    <w:rsid w:val="00FF27F6"/>
    <w:rsid w:val="00FF7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BA7A"/>
  <w15:chartTrackingRefBased/>
  <w15:docId w15:val="{B9D73CA2-425C-4BBC-B366-1039D856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71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71888"/>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8A59C2"/>
    <w:pPr>
      <w:keepNext/>
      <w:keepLines/>
      <w:spacing w:before="40" w:after="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7F6B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1888"/>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67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71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1888"/>
    <w:rPr>
      <w:rFonts w:ascii="Segoe UI" w:hAnsi="Segoe UI" w:cs="Segoe UI"/>
      <w:sz w:val="18"/>
      <w:szCs w:val="18"/>
    </w:rPr>
  </w:style>
  <w:style w:type="character" w:customStyle="1" w:styleId="berschrift2Zchn">
    <w:name w:val="Überschrift 2 Zchn"/>
    <w:basedOn w:val="Absatz-Standardschriftart"/>
    <w:link w:val="berschrift2"/>
    <w:uiPriority w:val="9"/>
    <w:rsid w:val="00671888"/>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8A59C2"/>
    <w:pPr>
      <w:ind w:left="720"/>
      <w:contextualSpacing/>
    </w:pPr>
  </w:style>
  <w:style w:type="character" w:customStyle="1" w:styleId="berschrift3Zchn">
    <w:name w:val="Überschrift 3 Zchn"/>
    <w:basedOn w:val="Absatz-Standardschriftart"/>
    <w:link w:val="berschrift3"/>
    <w:uiPriority w:val="9"/>
    <w:rsid w:val="008A59C2"/>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2531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316E"/>
  </w:style>
  <w:style w:type="paragraph" w:styleId="Fuzeile">
    <w:name w:val="footer"/>
    <w:basedOn w:val="Standard"/>
    <w:link w:val="FuzeileZchn"/>
    <w:uiPriority w:val="99"/>
    <w:unhideWhenUsed/>
    <w:rsid w:val="002531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316E"/>
  </w:style>
  <w:style w:type="character" w:customStyle="1" w:styleId="berschrift4Zchn">
    <w:name w:val="Überschrift 4 Zchn"/>
    <w:basedOn w:val="Absatz-Standardschriftart"/>
    <w:link w:val="berschrift4"/>
    <w:uiPriority w:val="9"/>
    <w:rsid w:val="007F6B6D"/>
    <w:rPr>
      <w:rFonts w:asciiTheme="majorHAnsi" w:eastAsiaTheme="majorEastAsia" w:hAnsiTheme="majorHAnsi" w:cstheme="majorBidi"/>
      <w:i/>
      <w:iCs/>
      <w:color w:val="2E74B5" w:themeColor="accent1" w:themeShade="BF"/>
    </w:rPr>
  </w:style>
  <w:style w:type="character" w:styleId="Hyperlink">
    <w:name w:val="Hyperlink"/>
    <w:basedOn w:val="Absatz-Standardschriftart"/>
    <w:uiPriority w:val="99"/>
    <w:unhideWhenUsed/>
    <w:rsid w:val="00BE66F0"/>
    <w:rPr>
      <w:color w:val="0563C1" w:themeColor="hyperlink"/>
      <w:u w:val="single"/>
    </w:rPr>
  </w:style>
  <w:style w:type="paragraph" w:styleId="Textkrper">
    <w:name w:val="Body Text"/>
    <w:basedOn w:val="Standard"/>
    <w:link w:val="TextkrperZchn"/>
    <w:uiPriority w:val="1"/>
    <w:qFormat/>
    <w:rsid w:val="00653B90"/>
    <w:pPr>
      <w:widowControl w:val="0"/>
      <w:autoSpaceDE w:val="0"/>
      <w:autoSpaceDN w:val="0"/>
      <w:spacing w:after="0" w:line="240" w:lineRule="auto"/>
    </w:pPr>
    <w:rPr>
      <w:rFonts w:ascii="Palatino Linotype" w:eastAsia="Palatino Linotype" w:hAnsi="Palatino Linotype" w:cs="Palatino Linotype"/>
      <w:sz w:val="18"/>
      <w:szCs w:val="18"/>
    </w:rPr>
  </w:style>
  <w:style w:type="character" w:customStyle="1" w:styleId="TextkrperZchn">
    <w:name w:val="Textkörper Zchn"/>
    <w:basedOn w:val="Absatz-Standardschriftart"/>
    <w:link w:val="Textkrper"/>
    <w:uiPriority w:val="1"/>
    <w:rsid w:val="00653B90"/>
    <w:rPr>
      <w:rFonts w:ascii="Palatino Linotype" w:eastAsia="Palatino Linotype" w:hAnsi="Palatino Linotype" w:cs="Palatino Linotype"/>
      <w:sz w:val="18"/>
      <w:szCs w:val="18"/>
    </w:rPr>
  </w:style>
  <w:style w:type="character" w:styleId="Kommentarzeichen">
    <w:name w:val="annotation reference"/>
    <w:basedOn w:val="Absatz-Standardschriftart"/>
    <w:uiPriority w:val="99"/>
    <w:semiHidden/>
    <w:unhideWhenUsed/>
    <w:rsid w:val="001E33CB"/>
    <w:rPr>
      <w:sz w:val="16"/>
      <w:szCs w:val="16"/>
    </w:rPr>
  </w:style>
  <w:style w:type="paragraph" w:styleId="Kommentartext">
    <w:name w:val="annotation text"/>
    <w:basedOn w:val="Standard"/>
    <w:link w:val="KommentartextZchn"/>
    <w:uiPriority w:val="99"/>
    <w:semiHidden/>
    <w:unhideWhenUsed/>
    <w:rsid w:val="001E33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33CB"/>
    <w:rPr>
      <w:sz w:val="20"/>
      <w:szCs w:val="20"/>
    </w:rPr>
  </w:style>
  <w:style w:type="paragraph" w:styleId="Kommentarthema">
    <w:name w:val="annotation subject"/>
    <w:basedOn w:val="Kommentartext"/>
    <w:next w:val="Kommentartext"/>
    <w:link w:val="KommentarthemaZchn"/>
    <w:uiPriority w:val="99"/>
    <w:semiHidden/>
    <w:unhideWhenUsed/>
    <w:rsid w:val="001E33CB"/>
    <w:rPr>
      <w:b/>
      <w:bCs/>
    </w:rPr>
  </w:style>
  <w:style w:type="character" w:customStyle="1" w:styleId="KommentarthemaZchn">
    <w:name w:val="Kommentarthema Zchn"/>
    <w:basedOn w:val="KommentartextZchn"/>
    <w:link w:val="Kommentarthema"/>
    <w:uiPriority w:val="99"/>
    <w:semiHidden/>
    <w:rsid w:val="001E33CB"/>
    <w:rPr>
      <w:b/>
      <w:bCs/>
      <w:sz w:val="20"/>
      <w:szCs w:val="20"/>
    </w:rPr>
  </w:style>
  <w:style w:type="character" w:styleId="BesuchterLink">
    <w:name w:val="FollowedHyperlink"/>
    <w:basedOn w:val="Absatz-Standardschriftart"/>
    <w:uiPriority w:val="99"/>
    <w:semiHidden/>
    <w:unhideWhenUsed/>
    <w:rsid w:val="00CA7BDE"/>
    <w:rPr>
      <w:color w:val="954F72" w:themeColor="followedHyperlink"/>
      <w:u w:val="single"/>
    </w:rPr>
  </w:style>
  <w:style w:type="paragraph" w:styleId="Inhaltsverzeichnisberschrift">
    <w:name w:val="TOC Heading"/>
    <w:basedOn w:val="berschrift1"/>
    <w:next w:val="Standard"/>
    <w:uiPriority w:val="39"/>
    <w:unhideWhenUsed/>
    <w:qFormat/>
    <w:rsid w:val="00456955"/>
    <w:pPr>
      <w:outlineLvl w:val="9"/>
    </w:pPr>
    <w:rPr>
      <w:lang w:eastAsia="de-DE"/>
    </w:rPr>
  </w:style>
  <w:style w:type="paragraph" w:styleId="Verzeichnis1">
    <w:name w:val="toc 1"/>
    <w:basedOn w:val="Standard"/>
    <w:next w:val="Standard"/>
    <w:autoRedefine/>
    <w:uiPriority w:val="39"/>
    <w:unhideWhenUsed/>
    <w:rsid w:val="00456955"/>
    <w:pPr>
      <w:spacing w:after="100"/>
    </w:pPr>
  </w:style>
  <w:style w:type="paragraph" w:styleId="Verzeichnis2">
    <w:name w:val="toc 2"/>
    <w:basedOn w:val="Standard"/>
    <w:next w:val="Standard"/>
    <w:autoRedefine/>
    <w:uiPriority w:val="39"/>
    <w:unhideWhenUsed/>
    <w:rsid w:val="00456955"/>
    <w:pPr>
      <w:spacing w:after="100"/>
      <w:ind w:left="220"/>
    </w:pPr>
  </w:style>
  <w:style w:type="paragraph" w:styleId="Verzeichnis3">
    <w:name w:val="toc 3"/>
    <w:basedOn w:val="Standard"/>
    <w:next w:val="Standard"/>
    <w:autoRedefine/>
    <w:uiPriority w:val="39"/>
    <w:unhideWhenUsed/>
    <w:rsid w:val="0045695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4250">
      <w:bodyDiv w:val="1"/>
      <w:marLeft w:val="0"/>
      <w:marRight w:val="0"/>
      <w:marTop w:val="0"/>
      <w:marBottom w:val="0"/>
      <w:divBdr>
        <w:top w:val="none" w:sz="0" w:space="0" w:color="auto"/>
        <w:left w:val="none" w:sz="0" w:space="0" w:color="auto"/>
        <w:bottom w:val="none" w:sz="0" w:space="0" w:color="auto"/>
        <w:right w:val="none" w:sz="0" w:space="0" w:color="auto"/>
      </w:divBdr>
    </w:div>
    <w:div w:id="512039692">
      <w:bodyDiv w:val="1"/>
      <w:marLeft w:val="0"/>
      <w:marRight w:val="0"/>
      <w:marTop w:val="0"/>
      <w:marBottom w:val="0"/>
      <w:divBdr>
        <w:top w:val="none" w:sz="0" w:space="0" w:color="auto"/>
        <w:left w:val="none" w:sz="0" w:space="0" w:color="auto"/>
        <w:bottom w:val="none" w:sz="0" w:space="0" w:color="auto"/>
        <w:right w:val="none" w:sz="0" w:space="0" w:color="auto"/>
      </w:divBdr>
    </w:div>
    <w:div w:id="1353216731">
      <w:bodyDiv w:val="1"/>
      <w:marLeft w:val="0"/>
      <w:marRight w:val="0"/>
      <w:marTop w:val="0"/>
      <w:marBottom w:val="0"/>
      <w:divBdr>
        <w:top w:val="none" w:sz="0" w:space="0" w:color="auto"/>
        <w:left w:val="none" w:sz="0" w:space="0" w:color="auto"/>
        <w:bottom w:val="none" w:sz="0" w:space="0" w:color="auto"/>
        <w:right w:val="none" w:sz="0" w:space="0" w:color="auto"/>
      </w:divBdr>
    </w:div>
    <w:div w:id="1731734453">
      <w:bodyDiv w:val="1"/>
      <w:marLeft w:val="0"/>
      <w:marRight w:val="0"/>
      <w:marTop w:val="0"/>
      <w:marBottom w:val="0"/>
      <w:divBdr>
        <w:top w:val="none" w:sz="0" w:space="0" w:color="auto"/>
        <w:left w:val="none" w:sz="0" w:space="0" w:color="auto"/>
        <w:bottom w:val="none" w:sz="0" w:space="0" w:color="auto"/>
        <w:right w:val="none" w:sz="0" w:space="0" w:color="auto"/>
      </w:divBdr>
    </w:div>
    <w:div w:id="176757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erfurt.de/datenschutz/datenschutzbeauftragte/" TargetMode="External"/><Relationship Id="rId13" Type="http://schemas.openxmlformats.org/officeDocument/2006/relationships/hyperlink" Target="https://www.uni-erfurt.de/datenschutz/datenschutz-im-bueroalltag/telearbeit/" TargetMode="External"/><Relationship Id="rId18" Type="http://schemas.openxmlformats.org/officeDocument/2006/relationships/hyperlink" Target="https://www.uni-erfurt.de/mitarbeiterservice/aktuelles/aktuelle-meldungen/news-detail/news-show/dienstanweisung-datenabfall-rundschreiben-des-praesident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erfurt.de/computerhilfe/windows-10/tipps/datensicherung-mit-dateiversionsverlauf/" TargetMode="External"/><Relationship Id="rId17" Type="http://schemas.openxmlformats.org/officeDocument/2006/relationships/hyperlink" Target="https://www.uni-erfurt.de/datenschutz/" TargetMode="External"/><Relationship Id="rId2" Type="http://schemas.openxmlformats.org/officeDocument/2006/relationships/numbering" Target="numbering.xml"/><Relationship Id="rId16" Type="http://schemas.openxmlformats.org/officeDocument/2006/relationships/hyperlink" Target="https://www.bsi.bund.de/SharedDocs/Downloads/DE/BSI/Publikationen/Broschueren/Leitfaden_zur_Basis-Absicherun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erfurt.de/fileadmin/public-docs/Hochschulrecht/Satzungsrecht_UE/Benutzungs-O/Benutzerordnung_URMZ.pdf" TargetMode="External"/><Relationship Id="rId5" Type="http://schemas.openxmlformats.org/officeDocument/2006/relationships/webSettings" Target="webSettings.xml"/><Relationship Id="rId15" Type="http://schemas.openxmlformats.org/officeDocument/2006/relationships/hyperlink" Target="https://www.uni-erfurt.de/mitarbeiterservice/mein-arbeitsplatz/it-service/it-sicherheit/" TargetMode="External"/><Relationship Id="rId10" Type="http://schemas.openxmlformats.org/officeDocument/2006/relationships/hyperlink" Target="https://www.uni-erfurt.de/mitarbeiterservice/mein-arbeitsplatz/it-service/selbstadministration/" TargetMode="External"/><Relationship Id="rId19" Type="http://schemas.openxmlformats.org/officeDocument/2006/relationships/hyperlink" Target="https://www.bsi.bund.de/DE/Themen/ITGrundschutz/ITGrundschutzKompendium/bausteine/DER/DER_2_1_Behandlung_von_Sicherheitsvorf%C3%A4llen.html" TargetMode="External"/><Relationship Id="rId4" Type="http://schemas.openxmlformats.org/officeDocument/2006/relationships/settings" Target="settings.xml"/><Relationship Id="rId9" Type="http://schemas.openxmlformats.org/officeDocument/2006/relationships/hyperlink" Target="https://www.uni-erfurt.de/urmz/it-sicherheit/" TargetMode="External"/><Relationship Id="rId14" Type="http://schemas.openxmlformats.org/officeDocument/2006/relationships/hyperlink" Target="https://www.uni-erfurt.de/mitarbeiterservice/mein-arbeitsplatz/it-service/it-sicherheit/"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D859-7C3F-4815-AFF1-2E1D590A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4502</Words>
  <Characters>28366</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In der Smitten</dc:creator>
  <cp:keywords/>
  <dc:description/>
  <cp:lastModifiedBy>Susanne In der Smitten</cp:lastModifiedBy>
  <cp:revision>6</cp:revision>
  <cp:lastPrinted>2019-11-26T08:53:00Z</cp:lastPrinted>
  <dcterms:created xsi:type="dcterms:W3CDTF">2019-11-26T08:34:00Z</dcterms:created>
  <dcterms:modified xsi:type="dcterms:W3CDTF">2019-11-26T08:53:00Z</dcterms:modified>
</cp:coreProperties>
</file>